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1983</w:t>
        <w:t xml:space="preserve">.  </w:t>
      </w:r>
      <w:r>
        <w:rPr>
          <w:b/>
        </w:rPr>
        <w:t xml:space="preserve">Revocation of election as employee cooperative corporation</w:t>
      </w:r>
    </w:p>
    <w:p>
      <w:pPr>
        <w:jc w:val="both"/>
        <w:spacing w:before="100" w:after="100"/>
        <w:ind w:start="360"/>
        <w:ind w:firstLine="360"/>
      </w:pPr>
      <w:r>
        <w:rPr/>
      </w:r>
      <w:r>
        <w:rPr/>
      </w:r>
      <w:r>
        <w:t xml:space="preserve">When any employee cooperative revokes its election in accordance with </w:t>
      </w:r>
      <w:r>
        <w:t>section 1975</w:t>
      </w:r>
      <w:r>
        <w:t xml:space="preserve">, the articles of amendment must provide for conversion of membership shares and internal capital accounts or their conversions to securities or other property in a manner consistent with </w:t>
      </w:r>
      <w:r>
        <w:t>Title 13‑C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§33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 RR 2001, c. 2, §B33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§1983. Revocation of election as employee cooperative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§1983. Revocation of election as employee cooperative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§1983. REVOCATION OF ELECTION AS EMPLOYEE COOPERATIVE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