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1973</w:t>
        <w:t xml:space="preserve">.  </w:t>
      </w:r>
      <w:r>
        <w:rPr>
          <w:b/>
        </w:rPr>
        <w:t xml:space="preserve">Application of other laws</w:t>
      </w:r>
    </w:p>
    <w:p>
      <w:pPr>
        <w:jc w:val="both"/>
        <w:spacing w:before="100" w:after="100"/>
        <w:ind w:start="360"/>
        <w:ind w:firstLine="360"/>
      </w:pPr>
      <w:r>
        <w:rPr/>
      </w:r>
      <w:r>
        <w:rPr/>
      </w:r>
      <w:r>
        <w:t xml:space="preserve">Except as otherwise provided in this subchapter, employee cooperative corporations are governed by </w:t>
      </w:r>
      <w:r>
        <w:t>Title 13‑C</w:t>
      </w:r>
      <w:r>
        <w:t xml:space="preserve">, the Maine Business Corporation Act.</w:t>
      </w:r>
      <w:r>
        <w:t xml:space="preserve">  </w:t>
      </w:r>
      <w:r xmlns:wp="http://schemas.openxmlformats.org/drawingml/2010/wordprocessingDrawing" xmlns:w15="http://schemas.microsoft.com/office/word/2012/wordml">
        <w:rPr>
          <w:rFonts w:ascii="Arial" w:hAnsi="Arial" w:cs="Arial"/>
          <w:sz w:val="22"/>
          <w:szCs w:val="22"/>
        </w:rPr>
        <w:t xml:space="preserve">[RR 2001, c. 2, Pt. B, §30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 RR 2001, c. 2, §B30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§1973. Application of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§1973. Application of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§1973. APPLICATION OF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