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1385</w:t>
        <w:t xml:space="preserve">.  </w:t>
      </w:r>
      <w:r>
        <w:rPr>
          <w:b/>
        </w:rPr>
        <w:t xml:space="preserve">Resale of unoccupied interment spaces</w:t>
      </w:r>
    </w:p>
    <w:p>
      <w:pPr>
        <w:jc w:val="both"/>
        <w:spacing w:before="100" w:after="100"/>
        <w:ind w:start="360"/>
        <w:ind w:firstLine="360"/>
      </w:pPr>
      <w:r>
        <w:rPr/>
      </w:r>
      <w:r>
        <w:rPr/>
      </w:r>
      <w:r>
        <w:t xml:space="preserve">A person, association, corporation or municipality having ownership or management of a cemetery, and which has acquired the right to use unoccupied interment spaces under </w:t>
      </w:r>
      <w:r>
        <w:t>section 1381</w:t>
      </w:r>
      <w:r>
        <w:t xml:space="preserve">, may sell the unoccupied interment spaces and convey the rights to those spaces.  The proceeds from the sale of the unoccupied interment spaces shall be applied solely to the cemetery permanent care and improvement fund for the permanent care and maintenance of the cemetery lot containing the unoccupied interment spaces sold.</w:t>
      </w:r>
      <w:r>
        <w:t xml:space="preserve">  </w:t>
      </w:r>
      <w:r xmlns:wp="http://schemas.openxmlformats.org/drawingml/2010/wordprocessingDrawing" xmlns:w15="http://schemas.microsoft.com/office/word/2012/wordml">
        <w:rPr>
          <w:rFonts w:ascii="Arial" w:hAnsi="Arial" w:cs="Arial"/>
          <w:sz w:val="22"/>
          <w:szCs w:val="22"/>
        </w:rPr>
        <w:t xml:space="preserve">[PL 1987, c. 579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§1385. Resale of unoccupied interment spaces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§1385. Resale of unoccupied interment spaces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§1385. RESALE OF UNOCCUPIED INTERMENT SPACES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