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1267</w:t>
        <w:t xml:space="preserve">.  </w:t>
      </w:r>
      <w:r>
        <w:rPr>
          <w:b/>
        </w:rPr>
        <w:t xml:space="preserve">Penalties</w:t>
      </w:r>
    </w:p>
    <w:p>
      <w:pPr>
        <w:jc w:val="both"/>
        <w:spacing w:before="100" w:after="100"/>
        <w:ind w:start="360"/>
        <w:ind w:firstLine="360"/>
      </w:pPr>
      <w:r>
        <w:rPr/>
      </w:r>
      <w:r>
        <w:rPr/>
      </w:r>
      <w:r>
        <w:t xml:space="preserve">A person is subject to criminal prosecution under </w:t>
      </w:r>
      <w:r>
        <w:t>Title 17‑A, chapter 15</w:t>
      </w:r>
      <w:r>
        <w:t xml:space="preserve"> if the person violates </w:t>
      </w:r>
      <w:r>
        <w:t>section 1264</w:t>
      </w:r>
      <w:r>
        <w:t xml:space="preserve"> or </w:t>
      </w:r>
      <w:r>
        <w:t>1265</w:t>
      </w:r>
      <w:r>
        <w:t xml:space="preserve">.  A person who violates </w:t>
      </w:r>
      <w:r>
        <w:t>section 1266</w:t>
      </w:r>
      <w:r>
        <w:t xml:space="preserve">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688,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PL 2003, c. 688,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§1267.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