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Standing</w:t>
      </w:r>
    </w:p>
    <w:p>
      <w:pPr>
        <w:jc w:val="both"/>
        <w:spacing w:before="100" w:after="100"/>
        <w:ind w:start="360"/>
        <w:ind w:firstLine="360"/>
      </w:pPr>
      <w:r>
        <w:rPr/>
      </w:r>
      <w:r>
        <w:rPr/>
      </w:r>
      <w:r>
        <w:t xml:space="preserve">A shareholder may not commence or maintain a derivative proceeding unless the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Shareholder at time of act or omission.</w:t>
        <w:t xml:space="preserve"> </w:t>
      </w:r>
      <w:r>
        <w:t xml:space="preserve"> </w:t>
      </w:r>
      <w:r>
        <w:t xml:space="preserve">Was a shareholder of the corporation at the time of the act or omission complained of or became a shareholder through transfer by operation of law from one who was a shareholder at that time;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Represents interests.</w:t>
        <w:t xml:space="preserve"> </w:t>
      </w:r>
      <w:r>
        <w:t xml:space="preserve"> </w:t>
      </w:r>
      <w:r>
        <w:t xml:space="preserve">Fairly and adequately represents the interests of the corporation in enforcing the right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 Standing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Standing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§752. STANDING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