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Remittance to Treasurer of State</w:t>
      </w:r>
    </w:p>
    <w:p>
      <w:pPr>
        <w:jc w:val="both"/>
        <w:spacing w:before="100" w:after="100"/>
        <w:ind w:start="360"/>
        <w:ind w:firstLine="360"/>
      </w:pPr>
      <w:r>
        <w:rPr/>
      </w:r>
      <w:r>
        <w:rPr/>
      </w:r>
      <w:r>
        <w:t xml:space="preserve">All fees collected as provided by this chapter must be remitted to the Treasurer of State for the use of the State with the exception of those fees collected under </w:t>
      </w:r>
      <w:r>
        <w:t>sections 1402‑A</w:t>
      </w:r>
      <w:r>
        <w:t xml:space="preserve"> and </w:t>
      </w:r>
      <w:r>
        <w:t>1405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465,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1991, c. 465,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Remittance to Treasurer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Remittance to Treasurer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§1403. REMITTANCE TO TREASURER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