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1210‑A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§20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§21 (AMD); PL 2007, c. 323, Pt. G, §4 (AFF).]</w:t>
      </w:r>
    </w:p>
    <w:p>
      <w:pPr>
        <w:jc w:val="both"/>
        <w:spacing w:before="100" w:after="0"/>
        <w:ind w:start="360"/>
        <w:ind w:firstLine="360"/>
      </w:pPr>
      <w:r>
        <w:rPr>
          <w:b/>
        </w:rPr>
        <w:t>3</w:t>
        <w:t xml:space="preserve">.  </w:t>
      </w:r>
      <w:r>
        <w:rPr>
          <w:b/>
        </w:rPr>
        <w:t xml:space="preserve">Authority to carry on activities ceases.</w:t>
        <w:t xml:space="preserve"> </w:t>
      </w:r>
      <w:r>
        <w:t xml:space="preserve"> </w:t>
      </w:r>
      <w:r>
        <w:t xml:space="preserve">The authority of a foreign corporation to carry on activities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carry on activities in this State. Service of process on the Secretary of State under this subsection is service on the foreign corporation. Upon receipt of process, the Secretary of State shall mail a copy of the process to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carry on activities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carry on activities in this State has been revoked under this section and that wishes to carry on activities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§§20-22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§1210-B. Procedure for and effect of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§1210-B. Procedure for and effect of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§1210-B. PROCEDURE FOR AND EFFECT OF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