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 Reinstatement following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Reinstatement following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§1114. REINSTATEMENT FOLLOWING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