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8847</w:t>
        <w:t xml:space="preserve">.  </w:t>
      </w:r>
      <w:r>
        <w:rPr>
          <w:b/>
        </w:rPr>
        <w:t xml:space="preserve">Enforcement agencies</w:t>
      </w:r>
    </w:p>
    <w:p>
      <w:pPr>
        <w:jc w:val="both"/>
        <w:spacing w:before="100" w:after="100"/>
        <w:ind w:start="360"/>
        <w:ind w:firstLine="360"/>
      </w:pPr>
      <w:r>
        <w:rPr/>
      </w:r>
      <w:r>
        <w:rPr/>
      </w:r>
      <w:r>
        <w:t xml:space="preserve">State police, county sheriffs, municipal law enforcement officers, state forest rangers and game wardens are authorized to make inspections, investigations, arrests and disposals of trees and boughs under this Article.</w:t>
      </w:r>
      <w:r>
        <w:t xml:space="preserve">  </w:t>
      </w:r>
      <w:r xmlns:wp="http://schemas.openxmlformats.org/drawingml/2010/wordprocessingDrawing" xmlns:w15="http://schemas.microsoft.com/office/word/2012/wordml">
        <w:rPr>
          <w:rFonts w:ascii="Arial" w:hAnsi="Arial" w:cs="Arial"/>
          <w:sz w:val="22"/>
          <w:szCs w:val="22"/>
        </w:rPr>
        <w:t xml:space="preserve">[PL 1983, c. 507, §4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507,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§8847. Enforcement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§8847. Enforcement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§8847. ENFORCEMENT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