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6806</w:t>
        <w:t xml:space="preserve">.  </w:t>
      </w:r>
      <w:r>
        <w:rPr>
          <w:b/>
        </w:rPr>
        <w:t xml:space="preserve">Seaweed Management Fund</w:t>
      </w:r>
    </w:p>
    <w:p>
      <w:pPr>
        <w:jc w:val="both"/>
        <w:spacing w:before="100" w:after="100"/>
        <w:ind w:start="360"/>
      </w:pPr>
      <w:r>
        <w:rPr>
          <w:b/>
        </w:rPr>
        <w:t>(REALLOCATED FROM TITLE 12, SECTION 6804)</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Seaweed Management Fund, referred to in this section as the "fund," is established as a dedicated, nonlapsing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§18 (RAL).]</w:t>
      </w:r>
    </w:p>
    <w:p>
      <w:pPr>
        <w:jc w:val="both"/>
        <w:spacing w:before="100" w:after="0"/>
        <w:ind w:start="360"/>
        <w:ind w:firstLine="360"/>
      </w:pPr>
      <w:r>
        <w:rPr>
          <w:b/>
        </w:rPr>
        <w:t>2</w:t>
        <w:t xml:space="preserve">.  </w:t>
      </w:r>
      <w:r>
        <w:rPr>
          <w:b/>
        </w:rPr>
        <w:t xml:space="preserve">Permissible uses.</w:t>
        <w:t xml:space="preserve"> </w:t>
      </w:r>
      <w:r>
        <w:t xml:space="preserve"> </w:t>
      </w:r>
      <w:r>
        <w:t xml:space="preserve">The commissioner shall use the fund in accordance with a plan required under </w:t>
      </w:r>
      <w:r>
        <w:t>subsection 3</w:t>
      </w:r>
      <w:r>
        <w:t xml:space="preserve"> to research and manage the State's seaweed resources and to enforce the laws and rules related to seaweed.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§18 (RAL).]</w:t>
      </w:r>
    </w:p>
    <w:p>
      <w:pPr>
        <w:jc w:val="both"/>
        <w:spacing w:before="100" w:after="0"/>
        <w:ind w:start="360"/>
        <w:ind w:firstLine="360"/>
      </w:pPr>
      <w:r>
        <w:rPr>
          <w:b/>
        </w:rPr>
        <w:t>3</w:t>
        <w:t xml:space="preserve">.  </w:t>
      </w:r>
      <w:r>
        <w:rPr>
          <w:b/>
        </w:rPr>
        <w:t xml:space="preserve">Plan required.</w:t>
        <w:t xml:space="preserve"> </w:t>
      </w:r>
      <w:r>
        <w:t xml:space="preserve"> </w:t>
      </w:r>
      <w:r>
        <w:t xml:space="preserve">Beginning in calendar year 2018, the commissioner shall by May 1st of each year present a plan for expenditures from the fund for the next fiscal year to the joint standing committee of the Legislature having jurisdiction over marine resource matters.  When developing the plan, the commissioner shall consult with the Seaweed Fisheries Advisory Council established in </w:t>
      </w:r>
      <w:r>
        <w:t>Title 5, section 12004‑I, subsection 57‑H</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§18 (RAL). PL 2017, c. 52,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§6806. Seaweed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§6806. Seaweed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§6806. SEAWEED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