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§6804. COMMERCIAL NORTHERN SHRIMP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