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6803-B</w:t>
        <w:t xml:space="preserve">.  </w:t>
      </w:r>
      <w:r>
        <w:rPr>
          <w:b/>
        </w:rPr>
        <w:t xml:space="preserve">Seaweed buyer's surcharge</w:t>
      </w:r>
    </w:p>
    <w:p>
      <w:pPr>
        <w:jc w:val="both"/>
        <w:spacing w:before="100" w:after="100"/>
        <w:ind w:start="360"/>
        <w:ind w:firstLine="360"/>
      </w:pPr>
      <w:r>
        <w:rPr/>
      </w:r>
      <w:r>
        <w:rPr/>
      </w:r>
      <w:r>
        <w:t xml:space="preserve">A person licensed under </w:t>
      </w:r>
      <w:r>
        <w:t>section 6803‑A</w:t>
      </w:r>
      <w:r>
        <w:t xml:space="preserve"> shall pay an annual surcharge, which must be deposited in the Seaweed Management Fund established under </w:t>
      </w:r>
      <w:r>
        <w:t>section 6806</w:t>
      </w:r>
      <w:r>
        <w:t xml:space="preserve">.  The commissioner shall establish the surcharge by rule, but the surcharge may not exceed $5 per wet ton.  The commissioner may refuse to renew a license under this Part or exclude a person from participating in harvest plans under </w:t>
      </w:r>
      <w:r>
        <w:t>section 6803‑C, subsection 4</w:t>
      </w:r>
      <w:r>
        <w:t xml:space="preserve"> for failing to pay the surcharge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283,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§6803-B. Seaweed buyer's surcharge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§6803-B. Seaweed buyer's surcharge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§6803-B. SEAWEED BUYER'S SURCHARGE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