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6546</w:t>
        <w:t xml:space="preserve">.  </w:t>
      </w:r>
      <w:r>
        <w:rPr>
          <w:b/>
        </w:rPr>
        <w:t xml:space="preserve">Sale and purchase of herring; written acknowledgement</w:t>
      </w:r>
    </w:p>
    <w:p>
      <w:pPr>
        <w:jc w:val="both"/>
        <w:spacing w:before="100" w:after="100"/>
        <w:ind w:start="360"/>
        <w:ind w:firstLine="360"/>
      </w:pPr>
      <w:r>
        <w:rPr/>
      </w:r>
      <w:r>
        <w:rPr/>
      </w:r>
      <w:r>
        <w:t xml:space="preserve">Any person, firm or corporation purchasing herring from a person who fishes commercially or that person's agent, at the time of purchase, shall furnish to the person who fishes commercially or that person's agent a written acknowledgment of the purchase.</w:t>
      </w:r>
      <w:r>
        <w:t xml:space="preserve">  </w:t>
      </w:r>
      <w:r xmlns:wp="http://schemas.openxmlformats.org/drawingml/2010/wordprocessingDrawing" xmlns:w15="http://schemas.microsoft.com/office/word/2012/wordml">
        <w:rPr>
          <w:rFonts w:ascii="Arial" w:hAnsi="Arial" w:cs="Arial"/>
          <w:sz w:val="22"/>
          <w:szCs w:val="22"/>
        </w:rPr>
        <w:t xml:space="preserve">[RR 2021, c. 2, Pt. B, §58 (COR).]</w:t>
      </w:r>
    </w:p>
    <w:p>
      <w:pPr>
        <w:jc w:val="both"/>
        <w:spacing w:before="100" w:after="0"/>
        <w:ind w:start="360"/>
        <w:ind w:firstLine="360"/>
      </w:pPr>
      <w:r>
        <w:rPr>
          <w:b/>
        </w:rPr>
        <w:t>1</w:t>
        <w:t xml:space="preserve">.  </w:t>
      </w:r>
      <w:r>
        <w:rPr>
          <w:b/>
        </w:rPr>
        <w:t xml:space="preserve">Contents of acknowledgment.</w:t>
        <w:t xml:space="preserve"> </w:t>
      </w:r>
      <w:r>
        <w:t xml:space="preserve"> </w:t>
      </w:r>
      <w:r>
        <w:t xml:space="preserve">Unless otherwise agreed to by the parties, the buyer shall insert in the written acknowledgment all information necessary for a complete understanding of the transaction, including the price and quantity, and a provision for payment at a time not later than 14 days after delivery of the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w:t>
      </w:r>
    </w:p>
    <w:p>
      <w:pPr>
        <w:jc w:val="both"/>
        <w:spacing w:before="100" w:after="0"/>
        <w:ind w:start="360"/>
        <w:ind w:firstLine="360"/>
      </w:pPr>
      <w:r>
        <w:rPr>
          <w:b/>
        </w:rPr>
        <w:t>2</w:t>
        <w:t xml:space="preserve">.  </w:t>
      </w:r>
      <w:r>
        <w:rPr>
          <w:b/>
        </w:rPr>
        <w:t xml:space="preserve">Payments.</w:t>
        <w:t xml:space="preserve"> </w:t>
      </w:r>
      <w:r>
        <w:t xml:space="preserve"> </w:t>
      </w:r>
      <w:r>
        <w:t xml:space="preserve">Unless otherwise agreed to by the parties, the buyer shall make all payments to the person who fishes commercially or that person's agent, in money or in money equivalent, which includes, but is not limited to, credit against any outstanding indebtedness the person who fishes commercially may have to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671 (NEW). RR 2021, c. 2, Pt. B, §§58,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§6546. Sale and purchase of herring; written acknowledgement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§6546. Sale and purchase of herring; written acknowledgement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§6546. SALE AND PURCHASE OF HERRING; WRITTEN ACKNOWLEDGEMENT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