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6403</w:t>
        <w:t xml:space="preserve">.  </w:t>
      </w:r>
      <w:r>
        <w:rPr>
          <w:b/>
        </w:rPr>
        <w:t xml:space="preserve">Suspension based on refusing inspection or seizure</w:t>
      </w:r>
    </w:p>
    <w:p>
      <w:pPr>
        <w:jc w:val="both"/>
        <w:spacing w:before="100" w:after="100"/>
        <w:ind w:start="360"/>
        <w:ind w:firstLine="360"/>
      </w:pPr>
      <w:r>
        <w:rPr/>
      </w:r>
      <w:r>
        <w:rPr/>
      </w:r>
      <w:r>
        <w:t xml:space="preserve">The commissioner may suspend any and all licenses issued under this Part if the license holder refuses to allow inspection or seizure under </w:t>
      </w:r>
      <w:r>
        <w:t>section 6306</w:t>
      </w:r>
      <w:r>
        <w:t xml:space="preserve">. This suspension may not exceed one year.</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§6403. Suspension based on refusing inspection or seizure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§6403. Suspension based on refusing inspection or seizure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§6403. SUSPENSION BASED ON REFUSING INSPECTION OR SEIZURE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