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§6371. Administrative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§6371. Administrative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§6371. ADMINISTRATIVE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