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6204</w:t>
        <w:t xml:space="preserve">.  </w:t>
      </w:r>
      <w:r>
        <w:rPr>
          <w:b/>
        </w:rPr>
        <w:t xml:space="preserve">General penalty</w:t>
      </w:r>
    </w:p>
    <w:p>
      <w:pPr>
        <w:jc w:val="both"/>
        <w:spacing w:before="100" w:after="100"/>
        <w:ind w:start="360"/>
        <w:ind w:firstLine="360"/>
      </w:pPr>
      <w:r>
        <w:rPr/>
      </w:r>
      <w:r>
        <w:rPr/>
      </w:r>
      <w:r>
        <w:t xml:space="preserve">A violation of any provision of marine resources' laws is a Class D crime, unless another penalty has been expressly provided.  Except as otherwise specifically provided, these crimes are strict liability crimes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§7 (AMD);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2003, c. 248, §6 (AMD). PL 2003, c. 452, §F7 (AMD).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§6204. General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§6204. General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§6204. GENERAL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