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Rules of construction</w:t>
      </w:r>
    </w:p>
    <w:p>
      <w:pPr>
        <w:jc w:val="both"/>
        <w:spacing w:before="100" w:after="100"/>
        <w:ind w:start="360"/>
        <w:ind w:firstLine="360"/>
      </w:pPr>
      <w:r>
        <w:rPr/>
      </w:r>
      <w:r>
        <w:rPr/>
      </w:r>
      <w:r>
        <w:t xml:space="preserve">The following rules of construction apply to this Part, unless a different construction is plainly required by the context.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Reference to marine organisms.</w:t>
        <w:t xml:space="preserve"> </w:t>
      </w:r>
      <w:r>
        <w:t xml:space="preserve"> </w:t>
      </w:r>
      <w:r>
        <w:t xml:space="preserve">Reference to the taking or possession of any marine organism includes the taking and possession of any part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Application to marine organisms.</w:t>
        <w:t xml:space="preserve"> </w:t>
      </w:r>
      <w:r>
        <w:t xml:space="preserve"> </w:t>
      </w:r>
      <w:r>
        <w:t xml:space="preserve">Marine resources' laws apply only to marine organisms, as distinguished from fresh water organisms, except where jurisdiction over migratory or other organisms is specifically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General application.</w:t>
        <w:t xml:space="preserve"> </w:t>
      </w:r>
      <w:r>
        <w:t xml:space="preserve"> </w:t>
      </w:r>
      <w:r>
        <w:t xml:space="preserve">Marine resources' laws shall apply to all registered vessels and to all persons where their activities occur within the State, within the coastal waters of the State or where the product of those activities are brought into the State or its coastal waters. They shall also apply to all residents of the State wherever those activities are conducted, but not within the jurisdiction of another state. These laws do not apply to marine organisms passing through the State under the authority of the laws of the United States. This subsection does not limit </w:t>
      </w:r>
      <w:r>
        <w:t>section 6859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§6002.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