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4654</w:t>
        <w:t xml:space="preserve">.  </w:t>
      </w:r>
      <w:r>
        <w:rPr>
          <w:b/>
        </w:rPr>
        <w:t xml:space="preserve">-- supplemental nature</w:t>
      </w:r>
    </w:p>
    <w:p>
      <w:pPr>
        <w:jc w:val="both"/>
        <w:spacing w:before="100" w:after="100"/>
        <w:ind w:start="360"/>
        <w:ind w:firstLine="360"/>
      </w:pPr>
      <w:r>
        <w:rPr/>
      </w:r>
      <w:r>
        <w:rPr/>
      </w:r>
      <w:r>
        <w:t xml:space="preserve">Any powers herein granted to the commission shall be regarded as in aid of and supplemental to and in no case a limitation upon any of the powers vested in said commission by other laws of the State of Maine or by the laws of the states of New Hampshire, Massachusetts, Connecticut, Rhode Island, New York, New Jersey, Delaware, Maryland, Virginia, North Carolina, South Carolina, Georgia and Florida or by the Congress or the terms of said compact.</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§4654. -- supplemental nature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§4654. -- supplemental nature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§4654. -- SUPPLEMENTAL NATURE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