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1889</w:t>
        <w:t xml:space="preserve">.  </w:t>
      </w:r>
      <w:r>
        <w:rPr>
          <w:b/>
        </w:rPr>
        <w:t xml:space="preserve">Allocation of funds</w:t>
      </w:r>
    </w:p>
    <w:p>
      <w:pPr>
        <w:jc w:val="both"/>
        <w:spacing w:before="100" w:after="100"/>
        <w:ind w:start="360"/>
        <w:ind w:firstLine="360"/>
      </w:pPr>
      <w:r>
        <w:rPr/>
      </w:r>
      <w:r>
        <w:rPr/>
      </w:r>
      <w:r>
        <w:t xml:space="preserve">Except for revenues resulting from an increase in fees in the waterway that, as provided in this chapter, accrue to a dedicated revenue account to be used for capital improvements in the waterway, all money received by the bureau with respect to the operation and management of the waterway must be deposited with the Treasurer of State to be credited to the General Fund.</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§1889. Allocation of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§1889. Allocation of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§1889. ALLOCATION OF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