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§1850. Acquisition of public reserved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 Acquisition of public reserved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§1850. ACQUISITION OF PUBLIC RESERVED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