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w:t>
        <w:t xml:space="preserve">.  </w:t>
      </w:r>
      <w:r>
        <w:rPr>
          <w:b/>
        </w:rPr>
        <w:t xml:space="preserve">Fee sharing</w:t>
      </w:r>
    </w:p>
    <w:p>
      <w:pPr>
        <w:jc w:val="both"/>
        <w:spacing w:before="100" w:after="100"/>
        <w:ind w:start="360"/>
        <w:ind w:firstLine="360"/>
      </w:pPr>
      <w:r>
        <w:rPr/>
      </w:r>
      <w:r>
        <w:rPr/>
      </w:r>
      <w:r>
        <w:t xml:space="preserve">Seven percent of all day use and camping fees derived from any lands classified by the director as parks or historic sites under jurisdiction of the bureau must be apportioned and paid to the municipalities having those lands within their boundaries.  In determining the payment to each municipality, the bureau shall assign one unit per front foot for each foot of lake, pond, ocean or major river frontage and 5 units for each acre of all such lands within the municipality.  Frontage and acreage must be determined as of April 1st for the year in which revenue is being apportioned and computed to the nearest whole unit.</w:t>
      </w:r>
      <w:r>
        <w:t xml:space="preserve">  </w:t>
      </w:r>
      <w:r xmlns:wp="http://schemas.openxmlformats.org/drawingml/2010/wordprocessingDrawing" xmlns:w15="http://schemas.microsoft.com/office/word/2012/wordml">
        <w:rPr>
          <w:rFonts w:ascii="Arial" w:hAnsi="Arial" w:cs="Arial"/>
          <w:sz w:val="22"/>
          <w:szCs w:val="22"/>
        </w:rPr>
        <w:t xml:space="preserve">[PL 2005, c. 457, Pt. F,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457, §F1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§1820. Fee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 Fee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§1820. FEE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