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12459</w:t>
        <w:t xml:space="preserve">.  </w:t>
      </w:r>
      <w:r>
        <w:rPr>
          <w:b/>
        </w:rPr>
        <w:t xml:space="preserve">Fly-fishing by person who has loss of arm</w:t>
      </w:r>
    </w:p>
    <w:p>
      <w:pPr>
        <w:jc w:val="both"/>
        <w:spacing w:before="100" w:after="100"/>
        <w:ind w:start="360"/>
        <w:ind w:firstLine="360"/>
      </w:pPr>
      <w:r>
        <w:rPr/>
      </w:r>
      <w:r>
        <w:rPr/>
      </w:r>
      <w:r>
        <w:t xml:space="preserve">A person who possesses a valid fishing license and has suffered the loss of an arm may use any type of rod and reel to fish with a fly on waters open to fly-fishing.  For the purposes of this section, "loss of an arm" means the physical loss of the arm at the wrist or above.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§12459. Fly-fishing by person who has loss of 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§12459. Fly-fishing by person who has loss of arm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§12459. FLY-FISHING BY PERSON WHO HAS LOSS OF 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