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12451</w:t>
        <w:t xml:space="preserve">.  </w:t>
      </w:r>
      <w:r>
        <w:rPr>
          <w:b/>
        </w:rPr>
        <w:t xml:space="preserve">Application of laws</w:t>
      </w:r>
    </w:p>
    <w:p>
      <w:pPr>
        <w:jc w:val="both"/>
        <w:spacing w:before="100" w:after="0"/>
        <w:ind w:start="360"/>
        <w:ind w:firstLine="360"/>
      </w:pPr>
      <w:r>
        <w:rPr>
          <w:b/>
        </w:rPr>
        <w:t>1</w:t>
        <w:t xml:space="preserve">.  </w:t>
      </w:r>
      <w:r>
        <w:rPr>
          <w:b/>
        </w:rPr>
        <w:t xml:space="preserve">Waters covered by provisions relating to fish.</w:t>
        <w:t xml:space="preserve"> </w:t>
      </w:r>
      <w:r>
        <w:t xml:space="preserve"> </w:t>
      </w:r>
      <w:r>
        <w:t xml:space="preserve">This Part so far as it relates to fish of all varieties and fishways applies to fish and fishways in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Great ponds.</w:t>
        <w:t xml:space="preserve"> </w:t>
      </w:r>
      <w:r>
        <w:t xml:space="preserve"> </w:t>
      </w:r>
      <w:r>
        <w:t xml:space="preserve">A person on foot may engage in any activity on the great ponds not inconsistent with any other law or regulation of the State or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Ponds of 10 acres or less.</w:t>
        <w:t xml:space="preserve"> </w:t>
      </w:r>
      <w:r>
        <w:t xml:space="preserve"> </w:t>
      </w:r>
      <w:r>
        <w:t xml:space="preserve">Fishing in a pond of 10 acres or less, whether natural or artificial, formed on a brook, stream or river, is governed by the same laws and rules that govern fishing in the brook, stream or river on which the pond is situated.  This subsection does not apply to private ponds as set forth in </w:t>
      </w:r>
      <w:r>
        <w:t>section 12508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§12451. Application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§12451. Application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§12451. APPLICATION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