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§12151. Keeping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§12151. KEEPING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