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§11153. Special season deer permits;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§11153. SPECIAL SEASON DEER PERMITS;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