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10655</w:t>
        <w:t xml:space="preserve">.  </w:t>
      </w:r>
      <w:r>
        <w:rPr>
          <w:b/>
        </w:rPr>
        <w:t xml:space="preserve">Failure to notify</w:t>
      </w:r>
    </w:p>
    <w:p>
      <w:pPr>
        <w:jc w:val="both"/>
        <w:spacing w:before="100" w:after="100"/>
        <w:ind w:start="360"/>
        <w:ind w:firstLine="360"/>
      </w:pPr>
      <w:r>
        <w:rPr/>
      </w:r>
      <w:r>
        <w:rPr/>
      </w:r>
      <w:r>
        <w:t xml:space="preserve">Except as otherwise provided through written agreement, a person who has knowledge that a person is lost, stranded or drowned in the woodlands or inland waters of the State shall give notice of the lost, stranded or drowned person by the quickest means to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§71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§10655. Failure to notify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§10655. Failure to notify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§10655. FAILURE TO NOTIFY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