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10653</w:t>
        <w:t xml:space="preserve">.  </w:t>
      </w:r>
      <w:r>
        <w:rPr>
          <w:b/>
        </w:rPr>
        <w:t xml:space="preserve">Nonfeasance</w:t>
      </w:r>
    </w:p>
    <w:p>
      <w:pPr>
        <w:jc w:val="both"/>
        <w:spacing w:before="100" w:after="100"/>
        <w:ind w:start="360"/>
        <w:ind w:firstLine="360"/>
      </w:pPr>
      <w:r>
        <w:rPr/>
      </w:r>
      <w:r>
        <w:rPr/>
      </w:r>
      <w:r>
        <w:t xml:space="preserve">A person shall perform any act, duty or obligation enjoined upon that person by this Part.</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§69 (AMD); PL 2003, c. 655, Pt. B, §422 (AFF).]</w:t>
      </w:r>
    </w:p>
    <w:p>
      <w:pPr>
        <w:jc w:val="both"/>
        <w:spacing w:before="100" w:after="100"/>
        <w:ind w:start="360"/>
        <w:ind w:firstLine="360"/>
      </w:pPr>
      <w:r>
        <w:rPr/>
      </w:r>
      <w:r>
        <w:rPr/>
      </w:r>
      <w:r>
        <w:t xml:space="preserve">A person who violates this section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§B69 (AMD).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§10653. Nonfeasance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§10653. Nonfeasance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§10653. NONFEASANCE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