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9-1516</w:t>
        <w:t xml:space="preserve">.  </w:t>
      </w:r>
      <w:r>
        <w:rPr>
          <w:b/>
        </w:rPr>
        <w:t xml:space="preserve">What constitutes filing; effectiveness of filing</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communication of a record to a filing office and tender of the filing fee or acceptance of the record by the filing office constitutes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Filing does not occur with respect to a record that a filing office refuses to accept because:</w:t>
      </w:r>
    </w:p>
    <w:p>
      <w:pPr>
        <w:jc w:val="both"/>
        <w:spacing w:before="100" w:after="0"/>
        <w:ind w:start="720"/>
      </w:pPr>
      <w:r>
        <w:rPr/>
        <w:t>(a)</w:t>
        <w:t xml:space="preserve">.  </w:t>
      </w:r>
      <w:r>
        <w:rPr/>
      </w:r>
      <w:r>
        <w:t xml:space="preserve">The record is not communicated by a method or medium of communication authorized by the filing office;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amount equal to or greater than the applicable filing fee is not tendered.  For a record recorded in the county registry of deeds, the filing office may refuse to accept the record if the amount tendered is greater than the applicable filing fee;</w:t>
      </w:r>
      <w:r>
        <w:t xml:space="preserve">  </w:t>
      </w:r>
      <w:r xmlns:wp="http://schemas.openxmlformats.org/drawingml/2010/wordprocessingDrawing" xmlns:w15="http://schemas.microsoft.com/office/word/2012/wordml">
        <w:rPr>
          <w:rFonts w:ascii="Arial" w:hAnsi="Arial" w:cs="Arial"/>
          <w:sz w:val="22"/>
          <w:szCs w:val="22"/>
        </w:rPr>
        <w:t xml:space="preserve">[PL 2001, c. 286, §6 (AMD).]</w:t>
      </w:r>
    </w:p>
    <w:p>
      <w:pPr>
        <w:jc w:val="both"/>
        <w:spacing w:before="100" w:after="0"/>
        <w:ind w:start="720"/>
      </w:pPr>
      <w:r>
        <w:rPr/>
        <w:t>(c)</w:t>
        <w:t xml:space="preserve">.  </w:t>
      </w:r>
      <w:r>
        <w:rPr/>
      </w:r>
      <w:r>
        <w:t xml:space="preserve">The filing office is unable to index the record because:</w:t>
      </w:r>
    </w:p>
    <w:p>
      <w:pPr>
        <w:jc w:val="both"/>
        <w:spacing w:before="100" w:after="0"/>
        <w:ind w:start="1080"/>
      </w:pPr>
      <w:r>
        <w:rPr/>
        <w:t>(</w:t>
        <w:t>i</w:t>
        <w:t xml:space="preserve">)  </w:t>
      </w:r>
      <w:r>
        <w:rPr/>
      </w:r>
      <w:r>
        <w:t xml:space="preserve">In the case of an initial financing statement, the record does not provide a name for the debtor or, for a record recorded in the county registry of deeds, the record does not provide a name for the debtor and the secured party;</w:t>
      </w:r>
    </w:p>
    <w:p>
      <w:pPr>
        <w:jc w:val="both"/>
        <w:spacing w:before="100" w:after="0"/>
        <w:ind w:start="1080"/>
      </w:pPr>
      <w:r>
        <w:rPr/>
        <w:t>(</w:t>
        <w:t>ii</w:t>
        <w:t xml:space="preserve">)  </w:t>
      </w:r>
      <w:r>
        <w:rPr/>
      </w:r>
      <w:r>
        <w:t xml:space="preserve">In the case of an amendment or information statement, the record:</w:t>
      </w:r>
    </w:p>
    <w:p>
      <w:pPr>
        <w:jc w:val="both"/>
        <w:spacing w:before="100" w:after="0"/>
        <w:ind w:start="1440"/>
      </w:pPr>
      <w:r>
        <w:rPr/>
        <w:t>(</w:t>
        <w:t>A</w:t>
        <w:t xml:space="preserve">)  </w:t>
      </w:r>
      <w:r>
        <w:rPr/>
      </w:r>
      <w:r>
        <w:t xml:space="preserve">Does not identify the initial financing statement as required by </w:t>
      </w:r>
      <w:r>
        <w:t>section 9‑1512</w:t>
      </w:r>
      <w:r>
        <w:t xml:space="preserve"> or </w:t>
      </w:r>
      <w:r>
        <w:t>9‑1518</w:t>
      </w:r>
      <w:r>
        <w:t xml:space="preserve">, as applicable; or</w:t>
      </w:r>
    </w:p>
    <w:p>
      <w:pPr>
        <w:jc w:val="both"/>
        <w:spacing w:before="100" w:after="0"/>
        <w:ind w:start="1440"/>
      </w:pPr>
      <w:r>
        <w:rPr/>
        <w:t>(</w:t>
        <w:t>B</w:t>
        <w:t xml:space="preserve">)  </w:t>
      </w:r>
      <w:r>
        <w:rPr/>
      </w:r>
      <w:r>
        <w:t xml:space="preserve">Identifies an initial financing statement whose effectiveness has lapsed under </w:t>
      </w:r>
      <w:r>
        <w:t>section 9‑1515</w:t>
      </w:r>
      <w:r>
        <w:t xml:space="preserve">;</w:t>
      </w:r>
    </w:p>
    <w:p>
      <w:pPr>
        <w:jc w:val="both"/>
        <w:spacing w:before="100" w:after="0"/>
        <w:ind w:start="1080"/>
      </w:pPr>
      <w:r>
        <w:rPr/>
        <w:t>(</w:t>
        <w:t>iii</w:t>
        <w:t xml:space="preserve">)  </w:t>
      </w:r>
      <w:r>
        <w:rPr/>
      </w:r>
      <w:r>
        <w:t xml:space="preserve">In the case of an initial financing statement that provides the name of a debtor identified as an individual or an amendment that provides a name of a debtor identified as an individual that was not previously provided in the financing statement to which the record relates, the record does not identify the debtor's surname; or</w:t>
      </w:r>
    </w:p>
    <w:p>
      <w:pPr>
        <w:jc w:val="both"/>
        <w:spacing w:before="100" w:after="0"/>
        <w:ind w:start="1080"/>
      </w:pPr>
      <w:r>
        <w:rPr/>
        <w:t>(</w:t>
        <w:t>iv</w:t>
        <w:t xml:space="preserve">)  </w:t>
      </w:r>
      <w:r>
        <w:rPr/>
      </w:r>
      <w:r>
        <w:t xml:space="preserve">In the case of a record recorded in the county registry of deeds, the record does not provide a sufficient description of the real property to which it relates;</w:t>
      </w:r>
      <w:r>
        <w:t xml:space="preserve">  </w:t>
      </w:r>
      <w:r xmlns:wp="http://schemas.openxmlformats.org/drawingml/2010/wordprocessingDrawing" xmlns:w15="http://schemas.microsoft.com/office/word/2012/wordml">
        <w:rPr>
          <w:rFonts w:ascii="Arial" w:hAnsi="Arial" w:cs="Arial"/>
          <w:sz w:val="22"/>
          <w:szCs w:val="22"/>
        </w:rPr>
        <w:t xml:space="preserve">[PL 2013, c. 317, Pt. A, §24 (AMD).]</w:t>
      </w:r>
    </w:p>
    <w:p>
      <w:pPr>
        <w:jc w:val="both"/>
        <w:spacing w:before="100" w:after="0"/>
        <w:ind w:start="720"/>
      </w:pPr>
      <w:r>
        <w:rPr/>
        <w:t>(d)</w:t>
        <w:t xml:space="preserve">.  </w:t>
      </w:r>
      <w:r>
        <w:rPr/>
      </w:r>
      <w:r>
        <w:t xml:space="preserve">In the case of an initial financing statement or an amendment that adds a secured party of record, the record does not provide a name and mailing address for the secured party of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In the case of an initial financing statement or an amendment that provides a name of a debtor that was not previously provided in the financing statement to which the amendment relates, the record does not:</w:t>
      </w:r>
    </w:p>
    <w:p>
      <w:pPr>
        <w:jc w:val="both"/>
        <w:spacing w:before="100" w:after="0"/>
        <w:ind w:start="1080"/>
      </w:pPr>
      <w:r>
        <w:rPr/>
        <w:t>(</w:t>
        <w:t>i</w:t>
        <w:t xml:space="preserve">)  </w:t>
      </w:r>
      <w:r>
        <w:rPr/>
      </w:r>
      <w:r>
        <w:t xml:space="preserve">Provide a mailing address for the debtor; or</w:t>
      </w:r>
    </w:p>
    <w:p>
      <w:pPr>
        <w:jc w:val="both"/>
        <w:spacing w:before="100" w:after="0"/>
        <w:ind w:start="1080"/>
      </w:pPr>
      <w:r>
        <w:rPr/>
        <w:t>(</w:t>
        <w:t>ii</w:t>
        <w:t xml:space="preserve">)  </w:t>
      </w:r>
      <w:r>
        <w:rPr/>
      </w:r>
      <w:r>
        <w:t xml:space="preserve">Indicate whether the name provided as the name of the debtor is an individual or an organization;</w:t>
      </w:r>
      <w:r>
        <w:t xml:space="preserve">  </w:t>
      </w:r>
      <w:r xmlns:wp="http://schemas.openxmlformats.org/drawingml/2010/wordprocessingDrawing" xmlns:w15="http://schemas.microsoft.com/office/word/2012/wordml">
        <w:rPr>
          <w:rFonts w:ascii="Arial" w:hAnsi="Arial" w:cs="Arial"/>
          <w:sz w:val="22"/>
          <w:szCs w:val="22"/>
        </w:rPr>
        <w:t xml:space="preserve">[PL 2013, c. 317, Pt. A, §25 (AMD).]</w:t>
      </w:r>
    </w:p>
    <w:p>
      <w:pPr>
        <w:jc w:val="both"/>
        <w:spacing w:before="100" w:after="0"/>
        <w:ind w:start="720"/>
      </w:pPr>
      <w:r>
        <w:rPr/>
        <w:t>(f)</w:t>
        <w:t xml:space="preserve">.  </w:t>
      </w:r>
      <w:r>
        <w:rPr/>
      </w:r>
      <w:r>
        <w:t xml:space="preserve">In the case of an assignment reflected in an initial financing statement under </w:t>
      </w:r>
      <w:r>
        <w:t>section 9‑1514, subsection (1)</w:t>
      </w:r>
      <w:r>
        <w:t xml:space="preserve"> or an amendment filed under </w:t>
      </w:r>
      <w:r>
        <w:t>section 9‑1514, subsection (2)</w:t>
      </w:r>
      <w:r>
        <w:t xml:space="preserve">, the record does not provide a name and mailing address for the assignee;</w:t>
      </w:r>
      <w:r>
        <w:t xml:space="preserve">  </w:t>
      </w:r>
      <w:r xmlns:wp="http://schemas.openxmlformats.org/drawingml/2010/wordprocessingDrawing" xmlns:w15="http://schemas.microsoft.com/office/word/2012/wordml">
        <w:rPr>
          <w:rFonts w:ascii="Arial" w:hAnsi="Arial" w:cs="Arial"/>
          <w:sz w:val="22"/>
          <w:szCs w:val="22"/>
        </w:rPr>
        <w:t xml:space="preserve">[PL 2015, c. 180, §2 (AMD).]</w:t>
      </w:r>
    </w:p>
    <w:p>
      <w:pPr>
        <w:jc w:val="both"/>
        <w:spacing w:before="100" w:after="0"/>
        <w:ind w:start="720"/>
      </w:pPr>
      <w:r>
        <w:rPr/>
        <w:t>(g)</w:t>
        <w:t xml:space="preserve">.  </w:t>
      </w:r>
      <w:r>
        <w:rPr/>
      </w:r>
      <w:r>
        <w:t xml:space="preserve">In the case of a continuation statement, the record is not filed within the 6-month period prescribed by </w:t>
      </w:r>
      <w:r>
        <w:t>section 9‑1515, 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2015, c. 180, §2 (AMD).]</w:t>
      </w:r>
    </w:p>
    <w:p>
      <w:pPr>
        <w:jc w:val="both"/>
        <w:spacing w:before="100" w:after="0"/>
        <w:ind w:start="720"/>
      </w:pPr>
      <w:r>
        <w:rPr/>
        <w:t>(h)</w:t>
        <w:t xml:space="preserve">.  </w:t>
      </w:r>
      <w:r>
        <w:rPr/>
      </w:r>
      <w:r>
        <w:t xml:space="preserve">In the case of a record submitted for filing or recording with the Secretary of State, the Secretary of State refuses to accept the record in compliance with </w:t>
      </w:r>
      <w:r>
        <w:t>Title 5, section 90‑F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180,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180, §§2, 3 (AMD).]</w:t>
      </w:r>
    </w:p>
    <w:p>
      <w:pPr>
        <w:jc w:val="both"/>
        <w:spacing w:before="100" w:after="100"/>
        <w:ind w:start="360"/>
        <w:ind w:firstLine="360"/>
      </w:pPr>
      <w:r>
        <w:rPr>
          <w:b/>
        </w:rPr>
        <w:t>(3)</w:t>
        <w:t xml:space="preserve">.  </w:t>
      </w:r>
      <w:r>
        <w:rPr>
          <w:b/>
        </w:rPr>
      </w:r>
      <w:r>
        <w:t xml:space="preserve"> </w:t>
      </w:r>
      <w:r>
        <w:t xml:space="preserve">For purposes of </w:t>
      </w:r>
      <w:r>
        <w:t>subsection (2)</w:t>
      </w:r>
      <w:r>
        <w:t xml:space="preserve">:</w:t>
      </w:r>
    </w:p>
    <w:p>
      <w:pPr>
        <w:jc w:val="both"/>
        <w:spacing w:before="100" w:after="0"/>
        <w:ind w:start="720"/>
      </w:pPr>
      <w:r>
        <w:rPr/>
        <w:t>(a)</w:t>
        <w:t xml:space="preserve">.  </w:t>
      </w:r>
      <w:r>
        <w:rPr/>
      </w:r>
      <w:r>
        <w:t xml:space="preserve">A record does not provide information if the filing office is unable to read or decipher the information;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record that does not indicate that it is an amendment or identify an initial financing statement to which it relates, as required by </w:t>
      </w:r>
      <w:r>
        <w:t>section 9‑1512</w:t>
      </w:r>
      <w:r>
        <w:t xml:space="preserve">, </w:t>
      </w:r>
      <w:r>
        <w:t>9‑1514</w:t>
      </w:r>
      <w:r>
        <w:t xml:space="preserve"> or </w:t>
      </w:r>
      <w:r>
        <w:t>9‑1518</w:t>
      </w:r>
      <w:r>
        <w:t xml:space="preserve">, is an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record that is communicated to the filing office with tender of the filing fee, but which the filing office refuses to accept for a reason other than one set forth in </w:t>
      </w:r>
      <w:r>
        <w:t>subsection (2)</w:t>
      </w:r>
      <w:r>
        <w:t xml:space="preserve">, is effective as a filed record except as against a purchaser of the collateral that gives value in reasonable reliance upon the absence of the record from the files.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§6 (AMD). PL 2013, c. 317, Pt. A, §§24, 25 (AMD). PL 2015, c. 180,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§9-1516. What constitutes filing; effectiveness of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§9-1516. What constitutes filing; effectiveness of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§9-1516. WHAT CONSTITUTES FILING; EFFECTIVENESS OF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