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8-1205</w:t>
        <w:t xml:space="preserve">.  </w:t>
      </w:r>
      <w:r>
        <w:rPr>
          <w:b/>
        </w:rPr>
        <w:t xml:space="preserve">Effect of unauthorized signature on security certificate</w:t>
      </w:r>
    </w:p>
    <w:p>
      <w:pPr>
        <w:jc w:val="both"/>
        <w:spacing w:before="100" w:after="100"/>
        <w:ind w:start="360"/>
        <w:ind w:firstLine="360"/>
      </w:pPr>
      <w:r>
        <w:rPr/>
      </w:r>
      <w:r>
        <w:rPr/>
      </w:r>
      <w:r>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An authenticating trustee, registrar, transfer agent or other person entrusted by the issuer with the signing of the security certificate or of similar security certificates, or the immediate preparation for signing of any of them;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employee of the issuer, or of any of the persons listed in </w:t>
      </w:r>
      <w:r>
        <w:t>subsection (1)</w:t>
      </w:r>
      <w:r>
        <w:t xml:space="preserve">, entrusted with responsible handling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§8-1205. Effect of unauthorized signature on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§8-1205. Effect of unauthorized signature on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§8-1205. EFFECT OF UNAUTHORIZED SIGNATURE ON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