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chapter 526,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section 9‑402, subsection (6) of the new code on the effective date of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§10-105. Transition provision on change of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Transition provision on change of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§10-105. TRANSITION PROVISION ON CHANGE OF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