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3953</w:t>
        <w:t xml:space="preserve">.  </w:t>
      </w:r>
      <w:r>
        <w:rPr>
          <w:b/>
        </w:rPr>
        <w:t xml:space="preserve">Disposal of residue</w:t>
      </w:r>
    </w:p>
    <w:p>
      <w:pPr>
        <w:jc w:val="both"/>
        <w:spacing w:before="100" w:after="100"/>
        <w:ind w:start="360"/>
        <w:ind w:firstLine="360"/>
      </w:pPr>
      <w:r>
        <w:rPr/>
      </w:r>
      <w:r>
        <w:rPr/>
      </w:r>
      <w:r>
        <w:t xml:space="preserve">After satisfying the lien and the reasonable costs and expenses accrued, the residue must be disposed of according to </w:t>
      </w:r>
      <w:r>
        <w:t>Title 33, chapter 45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498,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641, §1 (RPR). PL 2003, c. 20, §T5 (AMD). PL 2019, c. 498,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§3953. Disposal of residue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§3953. Disposal of residue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§3953. DISPOSAL OF RESIDUE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