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2752</w:t>
        <w:t xml:space="preserve">.  </w:t>
      </w:r>
      <w:r>
        <w:rPr>
          <w:b/>
        </w:rPr>
        <w:t xml:space="preserve">Jurisdiction</w:t>
      </w:r>
    </w:p>
    <w:p>
      <w:pPr>
        <w:jc w:val="both"/>
        <w:spacing w:before="100" w:after="100"/>
        <w:ind w:start="360"/>
        <w:ind w:firstLine="360"/>
      </w:pPr>
      <w:r>
        <w:rPr/>
      </w:r>
      <w:r>
        <w:rPr/>
      </w:r>
      <w:r>
        <w:t xml:space="preserve">The District Court and the Superior Court shall have concurrent jurisdiction of prosecutions for all offenses against the laws pertaining to weights and measures.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§2752.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§2752.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§2752.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