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2365-C</w:t>
        <w:t xml:space="preserve">.  </w:t>
      </w:r>
      <w:r>
        <w:rPr>
          <w:b/>
        </w:rPr>
        <w:t xml:space="preserve">Persons enforcing laws relating to measurement of wood</w:t>
      </w:r>
    </w:p>
    <w:p>
      <w:pPr>
        <w:jc w:val="both"/>
        <w:spacing w:before="100" w:after="100"/>
        <w:ind w:start="360"/>
        <w:ind w:firstLine="360"/>
      </w:pPr>
      <w:r>
        <w:rPr/>
      </w:r>
      <w:r>
        <w:rPr/>
      </w:r>
      <w:r>
        <w:t xml:space="preserve">Any employee of the State charged with enforcing the provisions of this chapter relating to the measurement of wood must be examined and licensed in accordance with the provisions of </w:t>
      </w:r>
      <w:r>
        <w:t>section 2365‑A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501, Pt. B,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501, §B18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§2365-C. Persons enforcing laws relating to measurement of wood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§2365-C. Persons enforcing laws relating to measurement of wood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§2365-C. PERSONS ENFORCING LAWS RELATING TO MEASUREMENT OF WOOD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