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1183</w:t>
        <w:t xml:space="preserve">.  </w:t>
      </w:r>
      <w:r>
        <w:rPr>
          <w:b/>
        </w:rPr>
        <w:t xml:space="preserve">Statute of limitation</w:t>
      </w:r>
    </w:p>
    <w:p>
      <w:pPr>
        <w:jc w:val="both"/>
        <w:spacing w:before="100" w:after="100"/>
        <w:ind w:start="360"/>
        <w:ind w:firstLine="360"/>
      </w:pPr>
      <w:r>
        <w:rPr/>
      </w:r>
      <w:r>
        <w:rPr/>
      </w:r>
      <w:r>
        <w:t xml:space="preserve">Except for an action arising out of </w:t>
      </w:r>
      <w:r>
        <w:t>section 1174‑D</w:t>
      </w:r>
      <w:r>
        <w:t xml:space="preserve">, actions arising out of any provision of this chapter  must be commenced within 4 years  after the cause of action accrues;  if a person liable  under this chapter conceals the cause of action from the knowledge of the person entitled to bring it, the period prior to the discovery of  the cause of action by the person so entitled  is excluded in determining the time limited for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2017, c. 217, §9 (AMD).]</w:t>
      </w:r>
    </w:p>
    <w:p>
      <w:pPr>
        <w:jc w:val="both"/>
        <w:spacing w:before="100" w:after="100"/>
        <w:ind w:start="360"/>
        <w:ind w:firstLine="360"/>
      </w:pPr>
      <w:r>
        <w:rPr/>
      </w:r>
      <w:r>
        <w:rPr/>
      </w:r>
      <w:r>
        <w:t xml:space="preserve">Notwithstanding any provision in a franchise agreement, if a dispute covered by this chapter or any other law is submitted to mediation or arbitration, the time for the dealer to file a complaint, action, petition or protest is tolled until the mediation or arbitration proceeding is completed.</w:t>
      </w:r>
      <w:r>
        <w:t xml:space="preserve">  </w:t>
      </w:r>
      <w:r xmlns:wp="http://schemas.openxmlformats.org/drawingml/2010/wordprocessingDrawing" xmlns:w15="http://schemas.microsoft.com/office/word/2012/wordml">
        <w:rPr>
          <w:rFonts w:ascii="Arial" w:hAnsi="Arial" w:cs="Arial"/>
          <w:sz w:val="22"/>
          <w:szCs w:val="22"/>
        </w:rPr>
        <w:t xml:space="preserve">[PL 1997, c. 521,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1997, c. 521, §29 (AMD). PL 2017, c. 217,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§1183. Statute of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§1183. Statute of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§1183. STATUTE OF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