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authority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w:pPr>
        <w:jc w:val="both"/>
        <w:spacing w:before="100" w:after="0"/>
        <w:ind w:start="720"/>
      </w:pPr>
      <w:r>
        <w:rPr/>
        <w:t>B</w:t>
        <w:t xml:space="preserve">.  </w:t>
      </w:r>
      <w:r>
        <w:rPr/>
      </w:r>
      <w:r>
        <w:t xml:space="preserve">To 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shall be deemed trust funds, to be held and applied solely as provided in this subchapter. Any officer to whom, or any bank, trust company or other fiscal agent or trustee to which the moneys shall be paid shall act as trustees of the moneys and shall hold and apply them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§1046.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§1046.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