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Acts performed at emergency location are valid and binding</w:t>
      </w:r>
    </w:p>
    <w:p>
      <w:pPr>
        <w:jc w:val="both"/>
        <w:spacing w:before="100" w:after="100"/>
        <w:ind w:start="360"/>
        <w:ind w:firstLine="360"/>
      </w:pPr>
      <w:r>
        <w:rPr/>
      </w:r>
      <w:r>
        <w:rPr/>
      </w:r>
      <w:r>
        <w:t xml:space="preserve">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Legislature in regular, extraordinary or emergency session, shall be as valid and binding when performed at such emergency temporary location, or locations, as if performed at the normal location of the seat of government.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 Acts performed at emergency location are valid and binding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Acts performed at emergency location are valid and binding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§712. ACTS PERFORMED AT EMERGENCY LOCATION ARE VALID AND BINDING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