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504</w:t>
        <w:t xml:space="preserve">.  </w:t>
      </w:r>
      <w:r>
        <w:rPr>
          <w:b/>
        </w:rPr>
        <w:t xml:space="preserve">Source of authority to be shown</w:t>
      </w:r>
    </w:p>
    <w:p>
      <w:pPr>
        <w:jc w:val="both"/>
        <w:spacing w:before="100" w:after="100"/>
        <w:ind w:start="360"/>
        <w:ind w:firstLine="360"/>
      </w:pPr>
      <w:r>
        <w:rPr/>
      </w:r>
      <w:r>
        <w:rPr/>
      </w:r>
      <w:r>
        <w:t xml:space="preserve">All publications printed or published by the State as a requirement of law shall set forth the authority for the same at an appropriate place on each copy printed or published. Publications printed or published by the State which are not required by law shall set forth the source of funds by which the publication is printed or published at an appropriate place on each copy. This section shall not apply to publications paid for out of the legislative appropriation.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§504. Source of authority to be shown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§504. Source of authority to be shown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§504. SOURCE OF AUTHORITY TO BE SHOWN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