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Schedule for review of exceptions to public records</w:t>
      </w:r>
    </w:p>
    <w:p>
      <w:pPr>
        <w:jc w:val="both"/>
        <w:spacing w:before="100" w:after="0"/>
        <w:ind w:start="360"/>
        <w:ind w:firstLine="360"/>
      </w:pPr>
      <w:r>
        <w:rPr>
          <w:b/>
        </w:rPr>
        <w:t>1</w:t>
        <w:t xml:space="preserve">.  </w:t>
      </w:r>
      <w:r>
        <w:rPr>
          <w:b/>
        </w:rPr>
        <w:t xml:space="preserve">Scheduling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§4 (RP).]</w:t>
      </w:r>
    </w:p>
    <w:p>
      <w:pPr>
        <w:jc w:val="both"/>
        <w:spacing w:before="100" w:after="100"/>
        <w:ind w:start="360"/>
        <w:ind w:firstLine="360"/>
      </w:pPr>
      <w:r>
        <w:rPr>
          <w:b/>
        </w:rPr>
        <w:t>2</w:t>
        <w:t xml:space="preserve">.  </w:t>
      </w:r>
      <w:r>
        <w:rPr>
          <w:b/>
        </w:rPr>
        <w:t xml:space="preserve">Scheduling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D, §1 (RP).]</w:t>
      </w:r>
    </w:p>
    <w:p>
      <w:pPr>
        <w:jc w:val="both"/>
        <w:spacing w:before="100" w:after="100"/>
        <w:ind w:start="360"/>
        <w:ind w:firstLine="360"/>
      </w:pPr>
      <w:r>
        <w:rPr>
          <w:b/>
        </w:rPr>
        <w:t>2-A</w:t>
        <w:t xml:space="preserve">.  </w:t>
      </w:r>
      <w:r>
        <w:rPr>
          <w:b/>
        </w:rPr>
        <w:t xml:space="preserve">Scheduling guidelines.</w:t>
        <w:t xml:space="preserve"> </w:t>
      </w:r>
      <w:r>
        <w:t xml:space="preserve"> </w:t>
      </w:r>
      <w:r>
        <w:t xml:space="preserve">The advisory committee shall use the following list as a guideline for scheduling reviews of public records exceptions and reporting its recommendations to the review committee:</w:t>
      </w:r>
    </w:p>
    <w:p>
      <w:pPr>
        <w:jc w:val="both"/>
        <w:spacing w:before="100" w:after="0"/>
        <w:ind w:start="720"/>
      </w:pPr>
      <w:r>
        <w:rPr/>
        <w:t>A</w:t>
        <w:t xml:space="preserve">.  </w:t>
      </w:r>
      <w:r>
        <w:rPr/>
      </w:r>
      <w:r>
        <w:t xml:space="preserve">Exceptions enacted after 2004 and before 2013 are scheduled to be reviewed by the review committee no later than 2017;</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B</w:t>
        <w:t xml:space="preserve">.  </w:t>
      </w:r>
      <w:r>
        <w:rPr/>
      </w:r>
      <w:r>
        <w:t xml:space="preserve">Exceptions codified in the following Titles are scheduled to be reviewed by the review committee no later than 2019:</w:t>
      </w:r>
    </w:p>
    <w:p>
      <w:pPr>
        <w:jc w:val="both"/>
        <w:spacing w:before="100" w:after="0"/>
        <w:ind w:start="1080"/>
      </w:pPr>
      <w:r>
        <w:rPr/>
        <w:t>(</w:t>
        <w:t>1</w:t>
        <w:t xml:space="preserve">)  </w:t>
      </w:r>
      <w:r>
        <w:rPr/>
      </w:r>
      <w:r>
        <w:t>Title 1</w:t>
      </w:r>
      <w:r>
        <w:t xml:space="preserve">;</w:t>
      </w:r>
    </w:p>
    <w:p>
      <w:pPr>
        <w:jc w:val="both"/>
        <w:spacing w:before="100" w:after="0"/>
        <w:ind w:start="1080"/>
      </w:pPr>
      <w:r>
        <w:rPr/>
        <w:t>(</w:t>
        <w:t>2</w:t>
        <w:t xml:space="preserve">)  </w:t>
      </w:r>
      <w:r>
        <w:rPr/>
      </w:r>
      <w:r>
        <w:t>Title 2</w:t>
      </w:r>
      <w:r>
        <w:t xml:space="preserve">;</w:t>
      </w:r>
    </w:p>
    <w:p>
      <w:pPr>
        <w:jc w:val="both"/>
        <w:spacing w:before="100" w:after="0"/>
        <w:ind w:start="1080"/>
      </w:pPr>
      <w:r>
        <w:rPr/>
        <w:t>(</w:t>
        <w:t>3</w:t>
        <w:t xml:space="preserve">)  </w:t>
      </w:r>
      <w:r>
        <w:rPr/>
      </w:r>
      <w:r>
        <w:t>Title 3</w:t>
      </w:r>
      <w:r>
        <w:t xml:space="preserve">;</w:t>
      </w:r>
    </w:p>
    <w:p>
      <w:pPr>
        <w:jc w:val="both"/>
        <w:spacing w:before="100" w:after="0"/>
        <w:ind w:start="1080"/>
      </w:pPr>
      <w:r>
        <w:rPr/>
        <w:t>(</w:t>
        <w:t>4</w:t>
        <w:t xml:space="preserve">)  </w:t>
      </w:r>
      <w:r>
        <w:rPr/>
      </w:r>
      <w:r>
        <w:t>Title 4</w:t>
      </w:r>
      <w:r>
        <w:t xml:space="preserve">;</w:t>
      </w:r>
    </w:p>
    <w:p>
      <w:pPr>
        <w:jc w:val="both"/>
        <w:spacing w:before="100" w:after="0"/>
        <w:ind w:start="1080"/>
      </w:pPr>
      <w:r>
        <w:rPr/>
        <w:t>(</w:t>
        <w:t>5</w:t>
        <w:t xml:space="preserve">)  </w:t>
      </w:r>
      <w:r>
        <w:rPr/>
      </w:r>
      <w:r>
        <w:t>Title 5</w:t>
      </w:r>
      <w:r>
        <w:t xml:space="preserve">;</w:t>
      </w:r>
    </w:p>
    <w:p>
      <w:pPr>
        <w:jc w:val="both"/>
        <w:spacing w:before="100" w:after="0"/>
        <w:ind w:start="1080"/>
      </w:pPr>
      <w:r>
        <w:rPr/>
        <w:t>(</w:t>
        <w:t>6</w:t>
        <w:t xml:space="preserve">)  </w:t>
      </w:r>
      <w:r>
        <w:rPr/>
      </w:r>
      <w:r>
        <w:t>Title 6</w:t>
      </w:r>
      <w:r>
        <w:t xml:space="preserve">;</w:t>
      </w:r>
    </w:p>
    <w:p>
      <w:pPr>
        <w:jc w:val="both"/>
        <w:spacing w:before="100" w:after="0"/>
        <w:ind w:start="1080"/>
      </w:pPr>
      <w:r>
        <w:rPr/>
        <w:t>(</w:t>
        <w:t>7</w:t>
        <w:t xml:space="preserve">)  </w:t>
      </w:r>
      <w:r>
        <w:rPr/>
      </w:r>
      <w:r>
        <w:t>Title 7</w:t>
      </w:r>
      <w:r>
        <w:t xml:space="preserve">; and</w:t>
      </w:r>
    </w:p>
    <w:p>
      <w:pPr>
        <w:jc w:val="both"/>
        <w:spacing w:before="100" w:after="0"/>
        <w:ind w:start="1080"/>
      </w:pPr>
      <w:r>
        <w:rPr/>
        <w:t>(</w:t>
        <w:t>8</w:t>
        <w:t xml:space="preserve">)  </w:t>
      </w:r>
      <w:r>
        <w:rPr/>
      </w:r>
      <w:r>
        <w:t>Title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C</w:t>
        <w:t xml:space="preserve">.  </w:t>
      </w:r>
      <w:r>
        <w:rPr/>
      </w:r>
      <w:r>
        <w:t xml:space="preserve">Exceptions codified in the following Titles are scheduled to be reviewed by the review committee no later than 2021:</w:t>
      </w:r>
    </w:p>
    <w:p>
      <w:pPr>
        <w:jc w:val="both"/>
        <w:spacing w:before="100" w:after="0"/>
        <w:ind w:start="1080"/>
      </w:pPr>
      <w:r>
        <w:rPr/>
        <w:t>(</w:t>
        <w:t>1</w:t>
        <w:t xml:space="preserve">)  </w:t>
      </w:r>
      <w:r>
        <w:rPr/>
      </w:r>
      <w:r>
        <w:t>Title 8</w:t>
      </w:r>
      <w:r>
        <w:t xml:space="preserve">;</w:t>
      </w:r>
    </w:p>
    <w:p>
      <w:pPr>
        <w:jc w:val="both"/>
        <w:spacing w:before="100" w:after="0"/>
        <w:ind w:start="1080"/>
      </w:pPr>
      <w:r>
        <w:rPr/>
        <w:t>(</w:t>
        <w:t>2</w:t>
        <w:t xml:space="preserve">)  </w:t>
      </w:r>
      <w:r>
        <w:rPr/>
      </w:r>
      <w:r>
        <w:t>Title 9‑A</w:t>
      </w:r>
      <w:r>
        <w:t xml:space="preserve">;</w:t>
      </w:r>
    </w:p>
    <w:p>
      <w:pPr>
        <w:jc w:val="both"/>
        <w:spacing w:before="100" w:after="0"/>
        <w:ind w:start="1080"/>
      </w:pPr>
      <w:r>
        <w:rPr/>
        <w:t>(</w:t>
        <w:t>3</w:t>
        <w:t xml:space="preserve">)  </w:t>
      </w:r>
      <w:r>
        <w:rPr/>
      </w:r>
      <w:r>
        <w:t>Title 9‑B</w:t>
      </w:r>
      <w:r>
        <w:t xml:space="preserve">;</w:t>
      </w:r>
    </w:p>
    <w:p>
      <w:pPr>
        <w:jc w:val="both"/>
        <w:spacing w:before="100" w:after="0"/>
        <w:ind w:start="1080"/>
      </w:pPr>
      <w:r>
        <w:rPr/>
        <w:t>(</w:t>
        <w:t>4</w:t>
        <w:t xml:space="preserve">)  </w:t>
      </w:r>
      <w:r>
        <w:rPr/>
      </w:r>
      <w:r>
        <w:t>Title 10</w:t>
      </w:r>
      <w:r>
        <w:t xml:space="preserve">;</w:t>
      </w:r>
    </w:p>
    <w:p>
      <w:pPr>
        <w:jc w:val="both"/>
        <w:spacing w:before="100" w:after="0"/>
        <w:ind w:start="1080"/>
      </w:pPr>
      <w:r>
        <w:rPr/>
        <w:t>(</w:t>
        <w:t>5</w:t>
        <w:t xml:space="preserve">)  </w:t>
      </w:r>
      <w:r>
        <w:rPr/>
      </w:r>
      <w:r>
        <w:t>Title 11</w:t>
      </w:r>
      <w:r>
        <w:t xml:space="preserve">; and</w:t>
      </w:r>
    </w:p>
    <w:p>
      <w:pPr>
        <w:jc w:val="both"/>
        <w:spacing w:before="100" w:after="0"/>
        <w:ind w:start="1080"/>
      </w:pPr>
      <w:r>
        <w:rPr/>
        <w:t>(</w:t>
        <w:t>6</w:t>
        <w:t xml:space="preserve">)  </w:t>
      </w:r>
      <w:r>
        <w:rPr/>
      </w:r>
      <w:r>
        <w:t>Title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D</w:t>
        <w:t xml:space="preserve">.  </w:t>
      </w:r>
      <w:r>
        <w:rPr/>
      </w:r>
      <w:r>
        <w:t xml:space="preserve">Exceptions codified in the following Titles are scheduled to be reviewed by the review committee no later than 2023:</w:t>
      </w:r>
    </w:p>
    <w:p>
      <w:pPr>
        <w:jc w:val="both"/>
        <w:spacing w:before="100" w:after="0"/>
        <w:ind w:start="1080"/>
      </w:pPr>
      <w:r>
        <w:rPr/>
        <w:t>(</w:t>
        <w:t>1</w:t>
        <w:t xml:space="preserve">)  </w:t>
      </w:r>
      <w:r>
        <w:rPr/>
      </w:r>
      <w:r>
        <w:t>Title 13</w:t>
      </w:r>
      <w:r>
        <w:t xml:space="preserve">;</w:t>
      </w:r>
    </w:p>
    <w:p>
      <w:pPr>
        <w:jc w:val="both"/>
        <w:spacing w:before="100" w:after="0"/>
        <w:ind w:start="1080"/>
      </w:pPr>
      <w:r>
        <w:rPr/>
        <w:t>(</w:t>
        <w:t>2</w:t>
        <w:t xml:space="preserve">)  </w:t>
      </w:r>
      <w:r>
        <w:rPr/>
      </w:r>
      <w:r>
        <w:t>Title 13‑B</w:t>
      </w:r>
      <w:r>
        <w:t xml:space="preserve">;</w:t>
      </w:r>
    </w:p>
    <w:p>
      <w:pPr>
        <w:jc w:val="both"/>
        <w:spacing w:before="100" w:after="0"/>
        <w:ind w:start="1080"/>
      </w:pPr>
      <w:r>
        <w:rPr/>
        <w:t>(</w:t>
        <w:t>3</w:t>
        <w:t xml:space="preserve">)  </w:t>
      </w:r>
      <w:r>
        <w:rPr/>
      </w:r>
      <w:r>
        <w:t>Title 13‑C</w:t>
      </w:r>
      <w:r>
        <w:t xml:space="preserve">;</w:t>
      </w:r>
    </w:p>
    <w:p>
      <w:pPr>
        <w:jc w:val="both"/>
        <w:spacing w:before="100" w:after="0"/>
        <w:ind w:start="1080"/>
      </w:pPr>
      <w:r>
        <w:rPr/>
        <w:t>(</w:t>
        <w:t>4</w:t>
        <w:t xml:space="preserve">)  </w:t>
      </w:r>
      <w:r>
        <w:rPr/>
      </w:r>
      <w:r>
        <w:t>Title 14</w:t>
      </w:r>
      <w:r>
        <w:t xml:space="preserve">;</w:t>
      </w:r>
    </w:p>
    <w:p>
      <w:pPr>
        <w:jc w:val="both"/>
        <w:spacing w:before="100" w:after="0"/>
        <w:ind w:start="1080"/>
      </w:pPr>
      <w:r>
        <w:rPr/>
        <w:t>(</w:t>
        <w:t>5</w:t>
        <w:t xml:space="preserve">)  </w:t>
      </w:r>
      <w:r>
        <w:rPr/>
      </w:r>
      <w:r>
        <w:t>Title 15</w:t>
      </w:r>
      <w:r>
        <w:t xml:space="preserve">;</w:t>
      </w:r>
    </w:p>
    <w:p>
      <w:pPr>
        <w:jc w:val="both"/>
        <w:spacing w:before="100" w:after="0"/>
        <w:ind w:start="1080"/>
      </w:pPr>
      <w:r>
        <w:rPr/>
        <w:t>(</w:t>
        <w:t>6</w:t>
        <w:t xml:space="preserve">)  </w:t>
      </w:r>
      <w:r>
        <w:rPr/>
      </w:r>
      <w:r>
        <w:t>Title 16</w:t>
      </w:r>
      <w:r>
        <w:t xml:space="preserve">;</w:t>
      </w:r>
    </w:p>
    <w:p>
      <w:pPr>
        <w:jc w:val="both"/>
        <w:spacing w:before="100" w:after="0"/>
        <w:ind w:start="1080"/>
      </w:pPr>
      <w:r>
        <w:rPr/>
        <w:t>(</w:t>
        <w:t>7</w:t>
        <w:t xml:space="preserve">)  </w:t>
      </w:r>
      <w:r>
        <w:rPr/>
      </w:r>
      <w:r>
        <w:t>Title 17</w:t>
      </w:r>
      <w:r>
        <w:t xml:space="preserve">;</w:t>
      </w:r>
    </w:p>
    <w:p>
      <w:pPr>
        <w:jc w:val="both"/>
        <w:spacing w:before="100" w:after="0"/>
        <w:ind w:start="1080"/>
      </w:pPr>
      <w:r>
        <w:rPr/>
        <w:t>(</w:t>
        <w:t>8</w:t>
        <w:t xml:space="preserve">)  </w:t>
      </w:r>
      <w:r>
        <w:rPr/>
      </w:r>
      <w:r>
        <w:t>Title 17‑A</w:t>
      </w:r>
      <w:r>
        <w:t xml:space="preserve">;</w:t>
      </w:r>
    </w:p>
    <w:p>
      <w:pPr>
        <w:jc w:val="both"/>
        <w:spacing w:before="100" w:after="0"/>
        <w:ind w:start="1080"/>
      </w:pPr>
      <w:r>
        <w:rPr/>
        <w:t>(</w:t>
        <w:t>9</w:t>
        <w:t xml:space="preserve">)  </w:t>
      </w:r>
      <w:r>
        <w:rPr/>
      </w:r>
      <w:r>
        <w:t>Title 18‑C</w:t>
      </w:r>
      <w:r>
        <w:t xml:space="preserve">;</w:t>
      </w:r>
    </w:p>
    <w:p>
      <w:pPr>
        <w:jc w:val="both"/>
        <w:spacing w:before="100" w:after="0"/>
        <w:ind w:start="1080"/>
      </w:pPr>
      <w:r>
        <w:rPr/>
        <w:t>(</w:t>
        <w:t>10</w:t>
        <w:t xml:space="preserve">)  </w:t>
      </w:r>
      <w:r>
        <w:rPr/>
      </w:r>
      <w:r>
        <w:t>Title 18‑B</w:t>
      </w:r>
      <w:r>
        <w:t xml:space="preserve">;</w:t>
      </w:r>
    </w:p>
    <w:p>
      <w:pPr>
        <w:jc w:val="both"/>
        <w:spacing w:before="100" w:after="0"/>
        <w:ind w:start="1080"/>
      </w:pPr>
      <w:r>
        <w:rPr/>
        <w:t>(</w:t>
        <w:t>11</w:t>
        <w:t xml:space="preserve">)  </w:t>
      </w:r>
      <w:r>
        <w:rPr/>
      </w:r>
      <w:r>
        <w:t>Title 19‑A</w:t>
      </w:r>
      <w:r>
        <w:t xml:space="preserve">;</w:t>
      </w:r>
    </w:p>
    <w:p>
      <w:pPr>
        <w:jc w:val="both"/>
        <w:spacing w:before="100" w:after="0"/>
        <w:ind w:start="1080"/>
      </w:pPr>
      <w:r>
        <w:rPr/>
        <w:t>(</w:t>
        <w:t>12</w:t>
        <w:t xml:space="preserve">)  </w:t>
      </w:r>
      <w:r>
        <w:rPr/>
      </w:r>
      <w:r>
        <w:t>Title 20‑A</w:t>
      </w:r>
      <w:r>
        <w:t xml:space="preserve">; and</w:t>
      </w:r>
    </w:p>
    <w:p>
      <w:pPr>
        <w:jc w:val="both"/>
        <w:spacing w:before="100" w:after="0"/>
        <w:ind w:start="1080"/>
      </w:pPr>
      <w:r>
        <w:rPr/>
        <w:t>(</w:t>
        <w:t>13</w:t>
        <w:t xml:space="preserve">)  </w:t>
      </w:r>
      <w:r>
        <w:rPr/>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§1 (AMD); PL 2019, c. 417, Pt. B, §14 (AFF).]</w:t>
      </w:r>
    </w:p>
    <w:p>
      <w:pPr>
        <w:jc w:val="both"/>
        <w:spacing w:before="100" w:after="0"/>
        <w:ind w:start="720"/>
      </w:pPr>
      <w:r>
        <w:rPr/>
        <w:t>E</w:t>
        <w:t xml:space="preserve">.  </w:t>
      </w:r>
      <w:r>
        <w:rPr/>
      </w:r>
      <w:r>
        <w:t xml:space="preserve">Exceptions codified in the following Titles are scheduled to be reviewed by the review committee no later than 2025:</w:t>
      </w:r>
    </w:p>
    <w:p>
      <w:pPr>
        <w:jc w:val="both"/>
        <w:spacing w:before="100" w:after="0"/>
        <w:ind w:start="1080"/>
      </w:pPr>
      <w:r>
        <w:rPr/>
        <w:t>(</w:t>
        <w:t>1</w:t>
        <w:t xml:space="preserve">)  </w:t>
      </w:r>
      <w:r>
        <w:rPr/>
      </w:r>
      <w:r>
        <w:t>Title 22</w:t>
      </w:r>
      <w:r>
        <w:t xml:space="preserve">;</w:t>
      </w:r>
    </w:p>
    <w:p>
      <w:pPr>
        <w:jc w:val="both"/>
        <w:spacing w:before="100" w:after="0"/>
        <w:ind w:start="1080"/>
      </w:pPr>
      <w:r>
        <w:rPr/>
        <w:t>(</w:t>
        <w:t>2</w:t>
        <w:t xml:space="preserve">)  </w:t>
      </w:r>
      <w:r>
        <w:rPr/>
      </w:r>
      <w:r>
        <w:t>Title 22‑A</w:t>
      </w:r>
      <w:r>
        <w:t xml:space="preserve">;</w:t>
      </w:r>
    </w:p>
    <w:p>
      <w:pPr>
        <w:jc w:val="both"/>
        <w:spacing w:before="100" w:after="0"/>
        <w:ind w:start="1080"/>
      </w:pPr>
      <w:r>
        <w:rPr/>
        <w:t>(</w:t>
        <w:t>3</w:t>
        <w:t xml:space="preserve">)  </w:t>
      </w:r>
      <w:r>
        <w:rPr/>
      </w:r>
      <w:r>
        <w:t>Title 23</w:t>
      </w:r>
      <w:r>
        <w:t xml:space="preserve">;</w:t>
      </w:r>
    </w:p>
    <w:p>
      <w:pPr>
        <w:jc w:val="both"/>
        <w:spacing w:before="100" w:after="0"/>
        <w:ind w:start="1080"/>
      </w:pPr>
      <w:r>
        <w:rPr/>
        <w:t>(</w:t>
        <w:t>4</w:t>
        <w:t xml:space="preserve">)  </w:t>
      </w:r>
      <w:r>
        <w:rPr/>
      </w:r>
      <w:r>
        <w:t>Title 24</w:t>
      </w:r>
      <w:r>
        <w:t xml:space="preserve">; and</w:t>
      </w:r>
    </w:p>
    <w:p>
      <w:pPr>
        <w:jc w:val="both"/>
        <w:spacing w:before="100" w:after="0"/>
        <w:ind w:start="1080"/>
      </w:pPr>
      <w:r>
        <w:rPr/>
        <w:t>(</w:t>
        <w:t>5</w:t>
        <w:t xml:space="preserve">)  </w:t>
      </w:r>
      <w:r>
        <w:rPr/>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F</w:t>
        <w:t xml:space="preserve">.  </w:t>
      </w:r>
      <w:r>
        <w:rPr/>
      </w:r>
      <w:r>
        <w:t xml:space="preserve">Exceptions codified in the following Titles are scheduled to be reviewed by the review committee no later than 2027:</w:t>
      </w:r>
    </w:p>
    <w:p>
      <w:pPr>
        <w:jc w:val="both"/>
        <w:spacing w:before="100" w:after="0"/>
        <w:ind w:start="1080"/>
      </w:pPr>
      <w:r>
        <w:rPr/>
        <w:t>(</w:t>
        <w:t>1</w:t>
        <w:t xml:space="preserve">)  </w:t>
      </w:r>
      <w:r>
        <w:rPr/>
      </w:r>
      <w:r>
        <w:t>Title 25</w:t>
      </w:r>
      <w:r>
        <w:t xml:space="preserve">;</w:t>
      </w:r>
    </w:p>
    <w:p>
      <w:pPr>
        <w:jc w:val="both"/>
        <w:spacing w:before="100" w:after="0"/>
        <w:ind w:start="1080"/>
      </w:pPr>
      <w:r>
        <w:rPr/>
        <w:t>(</w:t>
        <w:t>2</w:t>
        <w:t xml:space="preserve">)  </w:t>
      </w:r>
      <w:r>
        <w:rPr/>
      </w:r>
      <w:r>
        <w:t>Title 26</w:t>
      </w:r>
      <w:r>
        <w:t xml:space="preserve">;</w:t>
      </w:r>
    </w:p>
    <w:p>
      <w:pPr>
        <w:jc w:val="both"/>
        <w:spacing w:before="100" w:after="0"/>
        <w:ind w:start="1080"/>
      </w:pPr>
      <w:r>
        <w:rPr/>
        <w:t>(</w:t>
        <w:t>3</w:t>
        <w:t xml:space="preserve">)  </w:t>
      </w:r>
      <w:r>
        <w:rPr/>
      </w:r>
      <w:r>
        <w:t>Title 27</w:t>
      </w:r>
      <w:r>
        <w:t xml:space="preserve">;</w:t>
      </w:r>
    </w:p>
    <w:p>
      <w:pPr>
        <w:jc w:val="both"/>
        <w:spacing w:before="100" w:after="0"/>
        <w:ind w:start="1080"/>
      </w:pPr>
      <w:r>
        <w:rPr/>
        <w:t>(</w:t>
        <w:t>4</w:t>
        <w:t xml:space="preserve">)  </w:t>
      </w:r>
      <w:r>
        <w:rPr/>
      </w:r>
      <w:r>
        <w:t>Title 28‑A</w:t>
      </w:r>
      <w:r>
        <w:t xml:space="preserve">;</w:t>
      </w:r>
    </w:p>
    <w:p>
      <w:pPr>
        <w:jc w:val="both"/>
        <w:spacing w:before="100" w:after="0"/>
        <w:ind w:start="1080"/>
      </w:pPr>
      <w:r>
        <w:rPr/>
        <w:t>(</w:t>
        <w:t>5</w:t>
        <w:t xml:space="preserve">)  </w:t>
      </w:r>
      <w:r>
        <w:rPr/>
      </w:r>
      <w:r>
        <w:t>Title 29‑A</w:t>
      </w:r>
      <w:r>
        <w:t xml:space="preserve">;</w:t>
      </w:r>
    </w:p>
    <w:p>
      <w:pPr>
        <w:jc w:val="both"/>
        <w:spacing w:before="100" w:after="0"/>
        <w:ind w:start="1080"/>
      </w:pPr>
      <w:r>
        <w:rPr/>
        <w:t>(</w:t>
        <w:t>6</w:t>
        <w:t xml:space="preserve">)  </w:t>
      </w:r>
      <w:r>
        <w:rPr/>
      </w:r>
      <w:r>
        <w:t>Title 30</w:t>
      </w:r>
      <w:r>
        <w:t xml:space="preserve">;</w:t>
      </w:r>
    </w:p>
    <w:p>
      <w:pPr>
        <w:jc w:val="both"/>
        <w:spacing w:before="100" w:after="0"/>
        <w:ind w:start="1080"/>
      </w:pPr>
      <w:r>
        <w:rPr/>
        <w:t>(</w:t>
        <w:t>7</w:t>
        <w:t xml:space="preserve">)  </w:t>
      </w:r>
      <w:r>
        <w:rPr/>
      </w:r>
      <w:r>
        <w:t>Title 30‑A</w:t>
      </w:r>
      <w:r>
        <w:t xml:space="preserve">;</w:t>
      </w:r>
    </w:p>
    <w:p>
      <w:pPr>
        <w:jc w:val="both"/>
        <w:spacing w:before="100" w:after="0"/>
        <w:ind w:start="1080"/>
      </w:pPr>
      <w:r>
        <w:rPr/>
        <w:t>(</w:t>
        <w:t>8</w:t>
        <w:t xml:space="preserve">)  </w:t>
      </w:r>
      <w:r>
        <w:rPr/>
      </w:r>
      <w:r>
        <w:t>Title 31</w:t>
      </w:r>
      <w:r>
        <w:t xml:space="preserve">; and</w:t>
      </w:r>
    </w:p>
    <w:p>
      <w:pPr>
        <w:jc w:val="both"/>
        <w:spacing w:before="100" w:after="0"/>
        <w:ind w:start="1080"/>
      </w:pPr>
      <w:r>
        <w:rPr/>
        <w:t>(</w:t>
        <w:t>9</w:t>
        <w:t xml:space="preserve">)  </w:t>
      </w:r>
      <w:r>
        <w:rPr/>
      </w:r>
      <w:r>
        <w:t>Title 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G</w:t>
        <w:t xml:space="preserve">.  </w:t>
      </w:r>
      <w:r>
        <w:rPr/>
      </w:r>
      <w:r>
        <w:t xml:space="preserve">Exceptions codified in the following Titles are scheduled to be reviewed by the review committee no later than 2029:</w:t>
      </w:r>
    </w:p>
    <w:p>
      <w:pPr>
        <w:jc w:val="both"/>
        <w:spacing w:before="100" w:after="0"/>
        <w:ind w:start="1080"/>
      </w:pPr>
      <w:r>
        <w:rPr/>
        <w:t>(</w:t>
        <w:t>1</w:t>
        <w:t xml:space="preserve">)  </w:t>
      </w:r>
      <w:r>
        <w:rPr/>
      </w:r>
      <w:r>
        <w:t>Title 33</w:t>
      </w:r>
      <w:r>
        <w:t xml:space="preserve">;</w:t>
      </w:r>
    </w:p>
    <w:p>
      <w:pPr>
        <w:jc w:val="both"/>
        <w:spacing w:before="100" w:after="0"/>
        <w:ind w:start="1080"/>
      </w:pPr>
      <w:r>
        <w:rPr/>
        <w:t>(</w:t>
        <w:t>2</w:t>
        <w:t xml:space="preserve">)  </w:t>
      </w:r>
      <w:r>
        <w:rPr/>
      </w:r>
      <w:r>
        <w:t>Title 34‑A</w:t>
      </w:r>
      <w:r>
        <w:t xml:space="preserve">;</w:t>
      </w:r>
    </w:p>
    <w:p>
      <w:pPr>
        <w:jc w:val="both"/>
        <w:spacing w:before="100" w:after="0"/>
        <w:ind w:start="1080"/>
      </w:pPr>
      <w:r>
        <w:rPr/>
        <w:t>(</w:t>
        <w:t>3</w:t>
        <w:t xml:space="preserve">)  </w:t>
      </w:r>
      <w:r>
        <w:rPr/>
      </w:r>
      <w:r>
        <w:t>Title 34‑B</w:t>
      </w:r>
      <w:r>
        <w:t xml:space="preserve">;</w:t>
      </w:r>
    </w:p>
    <w:p>
      <w:pPr>
        <w:jc w:val="both"/>
        <w:spacing w:before="100" w:after="0"/>
        <w:ind w:start="1080"/>
      </w:pPr>
      <w:r>
        <w:rPr/>
        <w:t>(</w:t>
        <w:t>4</w:t>
        <w:t xml:space="preserve">)  </w:t>
      </w:r>
      <w:r>
        <w:rPr/>
      </w:r>
      <w:r>
        <w:t>Title 35‑A</w:t>
      </w:r>
      <w:r>
        <w:t xml:space="preserve">;</w:t>
      </w:r>
    </w:p>
    <w:p>
      <w:pPr>
        <w:jc w:val="both"/>
        <w:spacing w:before="100" w:after="0"/>
        <w:ind w:start="1080"/>
      </w:pPr>
      <w:r>
        <w:rPr/>
        <w:t>(</w:t>
        <w:t>5</w:t>
        <w:t xml:space="preserve">)  </w:t>
      </w:r>
      <w:r>
        <w:rPr/>
      </w:r>
      <w:r>
        <w:t>Title 36</w:t>
      </w:r>
      <w:r>
        <w:t xml:space="preserve">;</w:t>
      </w:r>
    </w:p>
    <w:p>
      <w:pPr>
        <w:jc w:val="both"/>
        <w:spacing w:before="100" w:after="0"/>
        <w:ind w:start="1080"/>
      </w:pPr>
      <w:r>
        <w:rPr/>
        <w:t>(</w:t>
        <w:t>6</w:t>
        <w:t xml:space="preserve">)  </w:t>
      </w:r>
      <w:r>
        <w:rPr/>
      </w:r>
      <w:r>
        <w:t>Title 37‑B</w:t>
      </w:r>
      <w:r>
        <w:t xml:space="preserve">;</w:t>
      </w:r>
    </w:p>
    <w:p>
      <w:pPr>
        <w:jc w:val="both"/>
        <w:spacing w:before="100" w:after="0"/>
        <w:ind w:start="1080"/>
      </w:pPr>
      <w:r>
        <w:rPr/>
        <w:t>(</w:t>
        <w:t>7</w:t>
        <w:t xml:space="preserve">)  </w:t>
      </w:r>
      <w:r>
        <w:rPr/>
      </w:r>
      <w:r>
        <w:t>Title 38</w:t>
      </w:r>
      <w:r>
        <w:t xml:space="preserve">; and</w:t>
      </w:r>
    </w:p>
    <w:p>
      <w:pPr>
        <w:jc w:val="both"/>
        <w:spacing w:before="100" w:after="0"/>
        <w:ind w:start="1080"/>
      </w:pPr>
      <w:r>
        <w:rPr/>
        <w:t>(</w:t>
        <w:t>8</w:t>
        <w:t xml:space="preserve">)  </w:t>
      </w:r>
      <w:r>
        <w:rPr/>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 (AMD); PL 2019, c. 417, Pt. B, §14 (AFF).]</w:t>
      </w:r>
    </w:p>
    <w:p>
      <w:pPr>
        <w:jc w:val="both"/>
        <w:spacing w:before="100" w:after="0"/>
        <w:ind w:start="360"/>
        <w:ind w:firstLine="360"/>
      </w:pPr>
      <w:r>
        <w:rPr>
          <w:b/>
        </w:rPr>
        <w:t>3</w:t>
        <w:t xml:space="preserve">.  </w:t>
      </w:r>
      <w:r>
        <w:rPr>
          <w:b/>
        </w:rPr>
        <w:t xml:space="preserve">Scheduling changes.</w:t>
        <w:t xml:space="preserve"> </w:t>
      </w:r>
      <w:r>
        <w:t xml:space="preserve"> </w:t>
      </w:r>
      <w:r>
        <w:t xml:space="preserve">The advisory committee may make adjustments to the scheduling guidelines provided in </w:t>
      </w:r>
      <w:r>
        <w:t>subsection 2‑A</w:t>
      </w:r>
      <w:r>
        <w:t xml:space="preserve"> as it determines appropriate and shall notify the review committee of such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§§4,5 (AMD). PL 2015, c. 250, Pt. D, §§1-3 (AMD). PL 2017, c. 402, Pt. C, §1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 Schedule for review of exceptions to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Schedule for review of exceptions to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§433. SCHEDULE FOR REVIEW OF EXCEPTIONS TO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