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w:t>
        <w:t xml:space="preserve">.  </w:t>
      </w:r>
      <w:r>
        <w:rPr>
          <w:b/>
        </w:rPr>
        <w:t xml:space="preserve">Violations</w:t>
      </w:r>
    </w:p>
    <w:p>
      <w:pPr>
        <w:jc w:val="both"/>
        <w:spacing w:before="100" w:after="0"/>
        <w:ind w:start="360"/>
        <w:ind w:firstLine="360"/>
      </w:pPr>
      <w:r>
        <w:rPr>
          <w:b/>
        </w:rPr>
        <w:t>1</w:t>
        <w:t xml:space="preserve">.  </w:t>
      </w:r>
      <w:r>
        <w:rPr>
          <w:b/>
        </w:rPr>
        <w:t xml:space="preserve">Civil violation.</w:t>
        <w:t xml:space="preserve"> </w:t>
      </w:r>
      <w:r>
        <w:t xml:space="preserve"> </w:t>
      </w:r>
      <w:r>
        <w:t xml:space="preserve">An officer or employee of a state government agency or local government entity who willfully violates this subchapter commits a civil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w:pPr>
        <w:jc w:val="both"/>
        <w:spacing w:before="100" w:after="100"/>
        <w:ind w:start="360"/>
        <w:ind w:firstLine="360"/>
      </w:pPr>
      <w:r>
        <w:rPr>
          <w:b/>
        </w:rPr>
        <w:t>2</w:t>
        <w:t xml:space="preserve">.  </w:t>
      </w:r>
      <w:r>
        <w:rPr>
          <w:b/>
        </w:rPr>
        <w:t xml:space="preserve">Penalties.</w:t>
        <w:t xml:space="preserve"> </w:t>
      </w:r>
      <w:r>
        <w:t xml:space="preserve"> </w:t>
      </w:r>
      <w:r>
        <w:t xml:space="preserve">A state government agency or local government entity whose officer or employee commits a civil violation described in </w:t>
      </w:r>
      <w:r>
        <w:t>subsection 1</w:t>
      </w:r>
      <w:r>
        <w:t xml:space="preserve"> is subject to:</w:t>
      </w:r>
    </w:p>
    <w:p>
      <w:pPr>
        <w:jc w:val="both"/>
        <w:spacing w:before="100" w:after="0"/>
        <w:ind w:start="720"/>
      </w:pPr>
      <w:r>
        <w:rPr/>
        <w:t>A</w:t>
        <w:t xml:space="preserve">.  </w:t>
      </w:r>
      <w:r>
        <w:rPr/>
      </w:r>
      <w:r>
        <w:t xml:space="preserve">A fine of not more than $500 for a civil violation described in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B</w:t>
        <w:t xml:space="preserve">.  </w:t>
      </w:r>
      <w:r>
        <w:rPr/>
      </w:r>
      <w:r>
        <w:t xml:space="preserve">A fine of not more than $1,000 for a civil violation described in </w:t>
      </w:r>
      <w:r>
        <w:t>subsection 1</w:t>
      </w:r>
      <w:r>
        <w:t xml:space="preserve"> that was committed not more than 4 years after a previous adjudication of a civil violation described in subsection 1 by an officer or employee of the same state government agency or local government entity; or</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w:pPr>
        <w:jc w:val="both"/>
        <w:spacing w:before="100" w:after="0"/>
        <w:ind w:start="720"/>
      </w:pPr>
      <w:r>
        <w:rPr/>
        <w:t>C</w:t>
        <w:t xml:space="preserve">.  </w:t>
      </w:r>
      <w:r>
        <w:rPr/>
      </w:r>
      <w:r>
        <w:t xml:space="preserve">A fine of not more than $2,000 for a civil violation described in </w:t>
      </w:r>
      <w:r>
        <w:t>subsection 1</w:t>
      </w:r>
      <w:r>
        <w:t xml:space="preserve"> that was committed not more than 4 years after 2 or more previous adjudications of a civil violation described in </w:t>
      </w:r>
      <w:r>
        <w:t>subsection 1</w:t>
      </w:r>
      <w:r>
        <w:t xml:space="preserve"> by an officer or employee of the same state government agency or local government entity.</w:t>
      </w:r>
      <w:r>
        <w:t xml:space="preserve">  </w:t>
      </w:r>
      <w:r xmlns:wp="http://schemas.openxmlformats.org/drawingml/2010/wordprocessingDrawing" xmlns:w15="http://schemas.microsoft.com/office/word/2012/wordml">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758 (NEW). PL 1987, c. 477, §6 (RPR). PL 2019, c. 247,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§410.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