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State flag</w:t>
      </w:r>
    </w:p>
    <w:p>
      <w:pPr>
        <w:jc w:val="both"/>
        <w:spacing w:before="100" w:after="100"/>
        <w:ind w:start="360"/>
        <w:ind w:firstLine="360"/>
      </w:pPr>
      <w:r>
        <w:rPr/>
      </w:r>
      <w:r>
        <w:rPr/>
      </w:r>
      <w:r>
        <w:t xml:space="preserve">The flag to be known as the official flag of the State shall be of blue, of the same color as the blue field in the flag of the United States, and of the following dimensions and designs; to wit, the length or height of the staff to be 9 feet, including brass spearhead and ferrule; the fly of said flag to be 5 feet 6 inches, and to be 4 feet 4 inches on the staff; in the center of the flag there shall be embroidered in silk on both sides of the flag the coat of arms of the State, in proportionate size; the edges to be trimmed with knotted fringe of yellow silk, 2 1/2 inches wide; a cord, with tassels, to be attached to the staff at the spearhead, to be 8 feet 6 inches long and composed of white and blue silk strands. A flag made in accordance with the description given in this section shall be kept in the office of the Adjutant General as a model.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 State flag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State flag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§206. STATE FLAG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