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Annual report</w:t>
      </w:r>
    </w:p>
    <w:p>
      <w:pPr>
        <w:jc w:val="both"/>
        <w:spacing w:before="100" w:after="100"/>
        <w:ind w:start="360"/>
        <w:ind w:firstLine="360"/>
      </w:pPr>
      <w:r>
        <w:rPr/>
      </w:r>
      <w:r>
        <w:rPr/>
      </w:r>
      <w:r>
        <w:t xml:space="preserve">The commission shall submit to the Legislature and the public an annual report discussing its activities under this chapter and any changes it considers necessary or appropriate regarding ethical standards.</w:t>
      </w:r>
      <w:r>
        <w:t xml:space="preserve">  </w:t>
      </w:r>
      <w:r xmlns:wp="http://schemas.openxmlformats.org/drawingml/2010/wordprocessingDrawing" xmlns:w15="http://schemas.microsoft.com/office/word/2012/wordml">
        <w:rPr>
          <w:rFonts w:ascii="Arial" w:hAnsi="Arial" w:cs="Arial"/>
          <w:sz w:val="22"/>
          <w:szCs w:val="22"/>
        </w:rPr>
        <w:t xml:space="preserve">[PL 1989, c. 561,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