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215-A</w:t>
        <w:t xml:space="preserve">.  </w:t>
      </w:r>
      <w:r>
        <w:rPr>
          <w:b/>
        </w:rPr>
        <w:t xml:space="preserve">Rule-making authority</w:t>
      </w:r>
    </w:p>
    <w:p>
      <w:pPr>
        <w:jc w:val="both"/>
        <w:spacing w:before="100" w:after="100"/>
        <w:ind w:start="360"/>
        <w:ind w:firstLine="360"/>
      </w:pPr>
      <w:r>
        <w:rPr/>
      </w:r>
      <w:r>
        <w:rPr/>
      </w:r>
      <w:r>
        <w:t xml:space="preserve">The commissioner shall adopt rules necessary to carry out the provisions of this subchapter.  The rules must establish a method and baseline to determine the percentage of Maine food or food products procured by state institutions based on dollars spent. Rules adopted under this subsection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677,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677,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§215-A. Rule-making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§215-A. Rule-making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§215-A. RULE-MAKING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