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3121</w:t>
        <w:t xml:space="preserve">.  </w:t>
      </w:r>
      <w:r>
        <w:rPr>
          <w:b/>
        </w:rPr>
        <w:t xml:space="preserve">Definitions</w:t>
      </w:r>
    </w:p>
    <w:p>
      <w:pPr>
        <w:jc w:val="both"/>
        <w:spacing w:before="100" w:after="0"/>
        <w:ind w:start="360"/>
        <w:ind w:firstLine="360"/>
      </w:pPr>
      <w:r>
        <w:rPr>
          <w:b/>
        </w:rPr>
        <w:t>1</w:t>
        <w:t xml:space="preserve">.  </w:t>
      </w:r>
      <w:r>
        <w:rPr>
          <w:b/>
        </w:rPr>
        <w:t xml:space="preserve">Advisory council.</w:t>
        <w:t xml:space="preserve"> </w:t>
      </w:r>
      <w:r>
        <w:t xml:space="preserve"> </w:t>
      </w:r>
      <w:r>
        <w:t xml:space="preserve">"Advisory council" means the Advisory Council on Affordable Health Care established in </w:t>
      </w:r>
      <w:r>
        <w:t>section 12004‑I, subsection 31‑B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2</w:t>
        <w:t xml:space="preserve">.  </w:t>
      </w:r>
      <w:r>
        <w:rPr>
          <w:b/>
        </w:rPr>
        <w:t xml:space="preserve">Executive director.</w:t>
        <w:t xml:space="preserve"> </w:t>
      </w:r>
      <w:r>
        <w:t xml:space="preserve"> </w:t>
      </w:r>
      <w:r>
        <w:t xml:space="preserve">"Executive director” or “director" means the executive director of the office appointed pursuant to </w:t>
      </w:r>
      <w:r>
        <w:t>section 3122,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3</w:t>
        <w:t xml:space="preserve">.  </w:t>
      </w:r>
      <w:r>
        <w:rPr>
          <w:b/>
        </w:rPr>
        <w:t xml:space="preserve">Legislative oversight committee.</w:t>
        <w:t xml:space="preserve"> </w:t>
      </w:r>
      <w:r>
        <w:t xml:space="preserve"> </w:t>
      </w:r>
      <w:r>
        <w:t xml:space="preserve">"Legislative oversight committee" means the joint standing committee of the Legislature having jurisdiction over health coverage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4</w:t>
        <w:t xml:space="preserve">.  </w:t>
      </w:r>
      <w:r>
        <w:rPr>
          <w:b/>
        </w:rPr>
        <w:t xml:space="preserve">Office.</w:t>
        <w:t xml:space="preserve"> </w:t>
      </w:r>
      <w:r>
        <w:t xml:space="preserve"> </w:t>
      </w:r>
      <w:r>
        <w:t xml:space="preserve">"Office" means the Office of Affordable Health Care established in </w:t>
      </w:r>
      <w:r>
        <w:t>section 3122,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§3121.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