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20012</w:t>
        <w:t xml:space="preserve">.  </w:t>
      </w:r>
      <w:r>
        <w:rPr>
          <w:b/>
        </w:rPr>
        <w:t xml:space="preserve">Recovery Community Centers Fund</w:t>
      </w:r>
    </w:p>
    <w:p>
      <w:pPr>
        <w:jc w:val="both"/>
        <w:spacing w:before="100" w:after="100"/>
        <w:ind w:start="360"/>
        <w:ind w:firstLine="360"/>
      </w:pPr>
      <w:r>
        <w:rPr/>
      </w:r>
      <w:r>
        <w:rPr/>
      </w:r>
      <w:r>
        <w:t xml:space="preserve">The Recovery Community Centers Fund is established as a dedicated, nonlapsing fund within the Office of Behavioral Health for the purposes specified in this section.  The fund must be held separate and apart from all other money, funds and accounts. Eligible investment earnings credited to the assets of the fund become part of the assets of the fund. Any unexpended balances remaining in the fund at the end of any fiscal year do not lapse and must be carried forward to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"Fund" means the Recovery Community Centers Fund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0"/>
        <w:ind w:start="720"/>
      </w:pPr>
      <w:r>
        <w:rPr/>
        <w:t>B</w:t>
        <w:t xml:space="preserve">.  </w:t>
      </w:r>
      <w:r>
        <w:rPr/>
      </w:r>
      <w:r>
        <w:t xml:space="preserve">"Independent, nonprofit organization" means a nonprofit organization that:</w:t>
      </w:r>
    </w:p>
    <w:p>
      <w:pPr>
        <w:jc w:val="both"/>
        <w:spacing w:before="100" w:after="0"/>
        <w:ind w:start="1080"/>
      </w:pPr>
      <w:r>
        <w:rPr/>
        <w:t>(</w:t>
        <w:t>1</w:t>
        <w:t xml:space="preserve">)  </w:t>
      </w:r>
      <w:r>
        <w:rPr/>
      </w:r>
      <w:r>
        <w:t xml:space="preserve">Operates its own agency that is a tax-exempt organization under 26 United States Code, Section 501(c)(3); or</w:t>
      </w:r>
    </w:p>
    <w:p>
      <w:pPr>
        <w:jc w:val="both"/>
        <w:spacing w:before="100" w:after="0"/>
        <w:ind w:start="1080"/>
      </w:pPr>
      <w:r>
        <w:rPr/>
        <w:t>(</w:t>
        <w:t>2</w:t>
        <w:t xml:space="preserve">)  </w:t>
      </w:r>
      <w:r>
        <w:rPr/>
      </w:r>
      <w:r>
        <w:t xml:space="preserve">Has a fiscal agent with a fiduciary relationship between a recovery community center and another agency and:</w:t>
      </w:r>
    </w:p>
    <w:p>
      <w:pPr>
        <w:jc w:val="both"/>
        <w:spacing w:before="100" w:after="0"/>
        <w:ind w:start="1440"/>
      </w:pPr>
      <w:r>
        <w:rPr/>
        <w:t>(</w:t>
        <w:t>a</w:t>
        <w:t xml:space="preserve">)  </w:t>
      </w:r>
      <w:r>
        <w:rPr/>
      </w:r>
      <w:r>
        <w:t xml:space="preserve">The fiscal agent is limited to managing assets and distributing funds to the recovery community center, free from conflicting self-interests, for the purpose of supporting the recovery community center's mission;</w:t>
      </w:r>
    </w:p>
    <w:p>
      <w:pPr>
        <w:jc w:val="both"/>
        <w:spacing w:before="100" w:after="0"/>
        <w:ind w:start="1440"/>
      </w:pPr>
      <w:r>
        <w:rPr/>
        <w:t>(</w:t>
        <w:t>b</w:t>
        <w:t xml:space="preserve">)  </w:t>
      </w:r>
      <w:r>
        <w:rPr/>
      </w:r>
      <w:r>
        <w:t xml:space="preserve">The recovery community center is autonomous in its own decision making, program development, recovery services provided and advocacy efforts through the leadership of an executive board or advisory board consisting of at least 51% members who are individuals in recovery; and</w:t>
      </w:r>
    </w:p>
    <w:p>
      <w:pPr>
        <w:jc w:val="both"/>
        <w:spacing w:before="100" w:after="0"/>
        <w:ind w:start="1440"/>
      </w:pPr>
      <w:r>
        <w:rPr/>
        <w:t>(</w:t>
        <w:t>c</w:t>
        <w:t xml:space="preserve">)  </w:t>
      </w:r>
      <w:r>
        <w:rPr/>
      </w:r>
      <w:r>
        <w:t xml:space="preserve">The fiscal agent uses no more than 4% of the revenue received from the fund for administrative purposes.</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0"/>
        <w:ind w:start="720"/>
      </w:pPr>
      <w:r>
        <w:rPr/>
        <w:t>C</w:t>
        <w:t xml:space="preserve">.  </w:t>
      </w:r>
      <w:r>
        <w:rPr/>
      </w:r>
      <w:r>
        <w:t xml:space="preserve">"Office" means the Office of Behavioral Health established in </w:t>
      </w:r>
      <w:r>
        <w:t>section 20011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0"/>
        <w:ind w:start="720"/>
      </w:pPr>
      <w:r>
        <w:rPr/>
        <w:t>D</w:t>
        <w:t xml:space="preserve">.  </w:t>
      </w:r>
      <w:r>
        <w:rPr/>
      </w:r>
      <w:r>
        <w:t xml:space="preserve">"Recovery community center" means an independent, nonprofit organization led and governed by representatives of local recovery communities with a primary focus on recovery from substance use disorder that provides nonclinical, peer recovery support services such as recovery support groups, recovery coaching, telephone recovery support, skill-building groups, harm reduction activities, recovery-focused outreach programs to engage people seeking recovery or in recovery and recovery-focused policy and advocacy activities.</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658, §1 (NEW).]</w:t>
      </w:r>
    </w:p>
    <w:p>
      <w:pPr>
        <w:jc w:val="both"/>
        <w:spacing w:before="100" w:after="100"/>
        <w:ind w:start="360"/>
        <w:ind w:firstLine="360"/>
      </w:pPr>
      <w:r>
        <w:rPr>
          <w:b/>
        </w:rPr>
        <w:t>2</w:t>
        <w:t xml:space="preserve">.  </w:t>
      </w:r>
      <w:r>
        <w:rPr>
          <w:b/>
        </w:rPr>
        <w:t xml:space="preserve">Sources of funds.</w:t>
        <w:t xml:space="preserve"> </w:t>
      </w:r>
      <w:r>
        <w:t xml:space="preserve"> </w:t>
      </w:r>
      <w:r>
        <w:t xml:space="preserve">The State Controller shall credit to the fund:</w:t>
      </w:r>
    </w:p>
    <w:p>
      <w:pPr>
        <w:jc w:val="both"/>
        <w:spacing w:before="100" w:after="0"/>
        <w:ind w:start="720"/>
      </w:pPr>
      <w:r>
        <w:rPr/>
        <w:t>A</w:t>
        <w:t xml:space="preserve">.  </w:t>
      </w:r>
      <w:r>
        <w:rPr/>
      </w:r>
      <w:r>
        <w:t xml:space="preserve">Beginning July 1, 2025 and annually thereafter, a transfer of $2,000,000 from the Adult Use Cannabis Public Health and Safety and Municipal Opt-in Fund established in </w:t>
      </w:r>
      <w:r>
        <w:t>Title 28‑B, section 1101</w:t>
      </w:r>
      <w:r>
        <w:t xml:space="preserve"> for operational support for recovery community centers and to provide funding for capacity building for recently established or new recovery community centers;</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0"/>
        <w:ind w:start="720"/>
      </w:pPr>
      <w:r>
        <w:rPr/>
        <w:t>B</w:t>
        <w:t xml:space="preserve">.  </w:t>
      </w:r>
      <w:r>
        <w:rPr/>
      </w:r>
      <w:r>
        <w:t xml:space="preserve">All money from any other source, whether public or private, designated for deposit into or credited to the fund; and</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0"/>
        <w:ind w:start="720"/>
      </w:pPr>
      <w:r>
        <w:rPr/>
        <w:t>C</w:t>
        <w:t xml:space="preserve">.  </w:t>
      </w:r>
      <w:r>
        <w:rPr/>
      </w:r>
      <w:r>
        <w:t xml:space="preserve">Interest earned or other investment income on balances in the fund.</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658, §1 (NEW).]</w:t>
      </w:r>
    </w:p>
    <w:p>
      <w:pPr>
        <w:jc w:val="both"/>
        <w:spacing w:before="100" w:after="0"/>
        <w:ind w:start="360"/>
        <w:ind w:firstLine="360"/>
      </w:pPr>
      <w:r>
        <w:rPr>
          <w:b/>
        </w:rPr>
        <w:t>3</w:t>
        <w:t xml:space="preserve">.  </w:t>
      </w:r>
      <w:r>
        <w:rPr>
          <w:b/>
        </w:rPr>
        <w:t xml:space="preserve">Uses of fund.</w:t>
        <w:t xml:space="preserve"> </w:t>
      </w:r>
      <w:r>
        <w:t xml:space="preserve"> </w:t>
      </w:r>
      <w:r>
        <w:t xml:space="preserve">Money credited to the fund pursuant to </w:t>
      </w:r>
      <w:r>
        <w:t>subsection 2</w:t>
      </w:r>
      <w:r>
        <w:t xml:space="preserve"> must be expended by the office to fund recovery community centers.  Money distributed from the fund must supplement, and may not supplant, the level of state General Fund dollars received from the State by a recovery community center in fiscal year 2022-23.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658, §1 (NEW).]</w:t>
      </w:r>
    </w:p>
    <w:p>
      <w:pPr>
        <w:jc w:val="both"/>
        <w:spacing w:before="100" w:after="0"/>
        <w:ind w:start="360"/>
        <w:ind w:firstLine="360"/>
      </w:pPr>
      <w:r>
        <w:rPr>
          <w:b/>
        </w:rPr>
        <w:t>4</w:t>
        <w:t xml:space="preserve">.  </w:t>
      </w:r>
      <w:r>
        <w:rPr>
          <w:b/>
        </w:rPr>
        <w:t xml:space="preserve">Application of fund to office expenses prohibited.</w:t>
        <w:t xml:space="preserve"> </w:t>
      </w:r>
      <w:r>
        <w:t xml:space="preserve"> </w:t>
      </w:r>
      <w:r>
        <w:t xml:space="preserve">Money in the fund may not be applied to any expenses incurred by the office in implementing, administering or enforcing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§20012. Recovery Community Centers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§20012. Recovery Community Centers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§20012. RECOVERY COMMUNITY CENTERS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