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w:t>
        <w:t xml:space="preserve">.  </w:t>
      </w:r>
      <w:r>
        <w:rPr>
          <w:b/>
        </w:rPr>
        <w:t xml:space="preserve">Registered bonds</w:t>
      </w:r>
    </w:p>
    <w:p>
      <w:pPr>
        <w:jc w:val="both"/>
        <w:spacing w:before="100" w:after="100"/>
        <w:ind w:start="360"/>
        <w:ind w:firstLine="360"/>
      </w:pPr>
      <w:r>
        <w:rPr/>
      </w:r>
      <w:r>
        <w:rPr/>
      </w:r>
      <w:r>
        <w:t xml:space="preserve">The Treasurer of State may issue registered bonds, transferable by assignment, in pieces of not less than $1,000, and of any multiple of 1,000, in exchange for, and in place of, any coupon bonds issued under the laws of this State, bearing the same rate of interest and maturing at the same time as the bonds that the Treasurer of State may receive therefor in exchange. The place of payment prescribed therein must be the State Treasury. Those bonds must be signed by the Treasurer of State or the Treasurer of State's deputy and attested by the Commissioner of Administrative and Financial Services, or such agent as the commissioner may designate.</w:t>
      </w:r>
      <w:r>
        <w:t xml:space="preserve">  </w:t>
      </w:r>
      <w:r xmlns:wp="http://schemas.openxmlformats.org/drawingml/2010/wordprocessingDrawing" xmlns:w15="http://schemas.microsoft.com/office/word/2012/wordml">
        <w:rPr>
          <w:rFonts w:ascii="Arial" w:hAnsi="Arial" w:cs="Arial"/>
          <w:sz w:val="22"/>
          <w:szCs w:val="22"/>
        </w:rPr>
        <w:t xml:space="preserve">[PL 2023, c. 223,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202, §2 (AMD). PL 1973, c. 625, §18 (AMD). PL 1985, c. 785, §A16 (AMD). PL 1991, c. 780, §Y15 (AMD). PL 2023, c. 223,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§145. Registered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 Registered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§145. REGISTERED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