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w:t>
        <w:t xml:space="preserve">.  </w:t>
      </w:r>
      <w:r>
        <w:rPr>
          <w:b/>
        </w:rPr>
        <w:t xml:space="preserve">Court personnel and compensation</w:t>
      </w:r>
    </w:p>
    <w:p>
      <w:pPr>
        <w:jc w:val="both"/>
        <w:spacing w:before="100" w:after="100"/>
        <w:ind w:start="360"/>
        <w:ind w:firstLine="360"/>
      </w:pPr>
      <w:r>
        <w:rPr/>
      </w:r>
      <w:r>
        <w:rPr/>
      </w:r>
      <w:r>
        <w:t xml:space="preserve">The Supreme Judicial Court shall prescribe by rule a personnel classification plan for all courts in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1975, c. 408,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 Court personnel and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 Court personnel and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§23. COURT PERSONNEL AND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