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w:t>
        <w:t xml:space="preserve">.  </w:t>
      </w:r>
      <w:r>
        <w:rPr>
          <w:b/>
        </w:rPr>
        <w:t xml:space="preserve">State responsibility for court finances</w:t>
      </w:r>
    </w:p>
    <w:p>
      <w:pPr>
        <w:jc w:val="both"/>
        <w:spacing w:before="100" w:after="100"/>
        <w:ind w:start="360"/>
        <w:ind w:firstLine="360"/>
      </w:pPr>
      <w:r>
        <w:rPr/>
      </w:r>
      <w:r>
        <w:rPr/>
      </w:r>
      <w:r>
        <w:t xml:space="preserve">Beginning with the fiscal year commencing July 1, 1976, the Legislature shall appropriate funds for the expenses of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1975, c. 408,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 State responsibility for court finances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 State responsibility for court finances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§22. STATE RESPONSIBILITY FOR COURT FINANCES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