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1668</w:t>
        <w:t xml:space="preserve">.  </w:t>
      </w:r>
      <w:r>
        <w:rPr>
          <w:b/>
        </w:rPr>
        <w:t xml:space="preserve">Education program</w:t>
      </w:r>
    </w:p>
    <w:p>
      <w:pPr>
        <w:jc w:val="both"/>
        <w:spacing w:before="100" w:after="100"/>
        <w:ind w:start="360"/>
        <w:ind w:firstLine="360"/>
      </w:pPr>
      <w:r>
        <w:rPr/>
      </w:r>
      <w:r>
        <w:rPr/>
      </w:r>
      <w:r>
        <w:t xml:space="preserve">The department shall implement an education program relating to mercury-added products no later than January 1, 2001.  The program must provide information to the public about labeled mercury-added products, the requirements of the law regarding the source separation of waste mercury-added products and collection programs that are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2011, c. 655, Pt. GG, §19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 PL 2011, c. 655, Pt. GG, §19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§1668.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§1668.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§1668.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