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1464</w:t>
        <w:t xml:space="preserve">.  </w:t>
      </w:r>
      <w:r>
        <w:rPr>
          <w:b/>
        </w:rPr>
        <w:t xml:space="preserve">Site characterization and selection</w:t>
      </w:r>
    </w:p>
    <w:p>
      <w:pPr>
        <w:jc w:val="both"/>
        <w:spacing w:before="100" w:after="100"/>
        <w:ind w:start="360"/>
        <w:ind w:firstLine="360"/>
      </w:pPr>
      <w:r>
        <w:rPr>
          <w:b/>
        </w:rPr>
        <w:t>1</w:t>
        <w:t xml:space="preserve">.  </w:t>
      </w:r>
      <w:r>
        <w:rPr>
          <w:b/>
        </w:rPr>
        <w:t xml:space="preserve">Limitation.</w:t>
        <w:t xml:space="preserve"> </w:t>
      </w:r>
      <w:r>
        <w:t xml:space="preserve"> </w:t>
      </w:r>
      <w:r>
        <w:t xml:space="preserve">Except for oversight, monitoring and public information activities, no agent of the State may participate in site characterization or selection studies, until the Legislature finds that all of the matters in </w:t>
      </w:r>
      <w:r>
        <w:t>section 1463, subsection 3</w:t>
      </w:r>
      <w:r>
        <w:t xml:space="preserve">, have been adequately addressed and has approved a plan for the studies and the Federal Government agrees that the site characterization or selection process includes:</w:t>
      </w:r>
    </w:p>
    <w:p>
      <w:pPr>
        <w:jc w:val="both"/>
        <w:spacing w:before="100" w:after="0"/>
        <w:ind w:start="720"/>
      </w:pPr>
      <w:r>
        <w:rPr/>
        <w:t>A</w:t>
        <w:t xml:space="preserve">.  </w:t>
      </w:r>
      <w:r>
        <w:rPr/>
      </w:r>
      <w:r>
        <w:t xml:space="preserve">Compliance with the United States National Environmental Policy Act of 1969, Public Law 91-190, including preparation of a specific environmental impact statement; and</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w:pPr>
        <w:jc w:val="both"/>
        <w:spacing w:before="100" w:after="0"/>
        <w:ind w:start="720"/>
      </w:pPr>
      <w:r>
        <w:rPr/>
        <w:t>B</w:t>
        <w:t xml:space="preserve">.  </w:t>
      </w:r>
      <w:r>
        <w:rPr/>
      </w:r>
      <w:r>
        <w:t xml:space="preserve">Compliance with all applicable state and local laws.</w:t>
      </w:r>
      <w:r>
        <w:t xml:space="preserve">  </w:t>
      </w:r>
      <w:r xmlns:wp="http://schemas.openxmlformats.org/drawingml/2010/wordprocessingDrawing" xmlns:w15="http://schemas.microsoft.com/office/word/2012/wordml">
        <w:rPr>
          <w:rFonts w:ascii="Arial" w:hAnsi="Arial" w:cs="Arial"/>
          <w:sz w:val="22"/>
          <w:szCs w:val="22"/>
        </w:rPr>
        <w:t xml:space="preserve">[PL 1983, c. 381,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(AMD).]</w:t>
      </w:r>
    </w:p>
    <w:p>
      <w:pPr>
        <w:jc w:val="both"/>
        <w:spacing w:before="100" w:after="0"/>
        <w:ind w:start="360"/>
        <w:ind w:firstLine="360"/>
      </w:pPr>
      <w:r>
        <w:rPr>
          <w:b/>
        </w:rPr>
        <w:t>2</w:t>
        <w:t xml:space="preserve">.  </w:t>
      </w:r>
      <w:r>
        <w:rPr>
          <w:b/>
        </w:rPr>
        <w:t xml:space="preserve">Legislative findings.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(RP).]</w:t>
      </w:r>
    </w:p>
    <w:p>
      <w:pPr>
        <w:jc w:val="both"/>
        <w:spacing w:before="100" w:after="0"/>
        <w:ind w:start="360"/>
        <w:ind w:firstLine="360"/>
      </w:pPr>
      <w:r>
        <w:rPr>
          <w:b/>
        </w:rPr>
        <w:t>2-A</w:t>
        <w:t xml:space="preserve">.  </w:t>
      </w:r>
      <w:r>
        <w:rPr>
          <w:b/>
        </w:rPr>
        <w:t xml:space="preserve">Limitations on excavation activities.</w:t>
        <w:t xml:space="preserve"> </w:t>
      </w:r>
      <w:r>
        <w:t xml:space="preserve"> </w:t>
      </w:r>
      <w:r>
        <w:t xml:space="preserve">No person may excavate any exploratory shaft for site characterization, selection or construction, unless the Legislature has approved that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(NEW).]</w:t>
      </w:r>
    </w:p>
    <w:p>
      <w:pPr>
        <w:jc w:val="both"/>
        <w:spacing w:before="100" w:after="0"/>
        <w:ind w:start="360"/>
        <w:ind w:firstLine="360"/>
      </w:pPr>
      <w:r>
        <w:rPr>
          <w:b/>
        </w:rPr>
        <w:t>3</w:t>
        <w:t xml:space="preserve">.  </w:t>
      </w:r>
      <w:r>
        <w:rPr>
          <w:b/>
        </w:rPr>
        <w:t xml:space="preserve">Reports.</w:t>
        <w:t xml:space="preserve"> </w:t>
      </w:r>
      <w:r>
        <w:t xml:space="preserve"> </w:t>
      </w:r>
      <w:r>
        <w:t xml:space="preserve">The commissioner shall keep the Governor and the  Legislature fully and currently informed about the conduct of any site characterization and, within 90 days of completion of that effort, shall review the findings and report them, together with the commissioner's  comments to the Governor and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381, §9 (NEW). PL 1985, c. 802,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§1464. Site characterization and selection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§1464. Site characterization and selection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§1464. SITE CHARACTERIZATION AND SELECTION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