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1294</w:t>
        <w:t xml:space="preserve">.  </w:t>
      </w:r>
      <w:r>
        <w:rPr>
          <w:b/>
        </w:rPr>
        <w:t xml:space="preserve">Reciprocity agreement</w:t>
      </w:r>
    </w:p>
    <w:p>
      <w:pPr>
        <w:jc w:val="both"/>
        <w:spacing w:before="100" w:after="100"/>
        <w:ind w:start="360"/>
        <w:ind w:firstLine="360"/>
      </w:pPr>
      <w:r>
        <w:rPr/>
      </w:r>
      <w:r>
        <w:rPr/>
      </w:r>
      <w:r>
        <w:t xml:space="preserve">The commissioner may develop reciprocity agreements with other states and with federally recognized tribes when the states and tribes have established licensing and certification and accreditation requirements that are at least as stringent as those set forth in this chapter.</w:t>
      </w:r>
      <w:r>
        <w:t xml:space="preserve">  </w:t>
      </w:r>
      <w:r xmlns:wp="http://schemas.openxmlformats.org/drawingml/2010/wordprocessingDrawing" xmlns:w15="http://schemas.microsoft.com/office/word/2012/wordml">
        <w:rPr>
          <w:rFonts w:ascii="Arial" w:hAnsi="Arial" w:cs="Arial"/>
          <w:sz w:val="22"/>
          <w:szCs w:val="22"/>
        </w:rPr>
        <w:t xml:space="preserve">[PL 1997, c. 375,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375,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§1294. Reciprocity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§1294. Reciprocity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§1294. RECIPROCITY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